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55" w:rsidRDefault="00004B55" w:rsidP="00CF73D0">
      <w:pPr>
        <w:spacing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AD23D3">
        <w:rPr>
          <w:b/>
          <w:bCs/>
          <w:caps/>
          <w:spacing w:val="24"/>
          <w:position w:val="26"/>
          <w:sz w:val="36"/>
        </w:rPr>
        <w:t>2</w:t>
      </w:r>
      <w:r w:rsidR="00E2051E">
        <w:rPr>
          <w:b/>
          <w:bCs/>
          <w:caps/>
          <w:spacing w:val="24"/>
          <w:position w:val="26"/>
          <w:sz w:val="36"/>
        </w:rPr>
        <w:t>2</w:t>
      </w:r>
      <w:r w:rsidR="00BE0881">
        <w:rPr>
          <w:b/>
          <w:bCs/>
          <w:caps/>
          <w:spacing w:val="24"/>
          <w:position w:val="26"/>
          <w:sz w:val="36"/>
        </w:rPr>
        <w:t>5</w:t>
      </w:r>
      <w:r>
        <w:rPr>
          <w:rFonts w:hint="eastAsia"/>
          <w:b/>
          <w:bCs/>
          <w:caps/>
          <w:position w:val="26"/>
          <w:sz w:val="36"/>
        </w:rPr>
        <w:t>號</w:t>
      </w:r>
    </w:p>
    <w:p w:rsidR="00004B55" w:rsidRDefault="00004B55">
      <w:pPr>
        <w:jc w:val="right"/>
      </w:pPr>
      <w:r>
        <w:rPr>
          <w:rFonts w:hint="eastAsia"/>
        </w:rPr>
        <w:t>中華民國</w:t>
      </w:r>
      <w:r w:rsidR="002F29FC">
        <w:rPr>
          <w:rFonts w:hint="eastAsia"/>
        </w:rPr>
        <w:t>10</w:t>
      </w:r>
      <w:r w:rsidR="007C2856">
        <w:rPr>
          <w:rFonts w:hint="eastAsia"/>
        </w:rPr>
        <w:t>4</w:t>
      </w:r>
      <w:r>
        <w:rPr>
          <w:rFonts w:hint="eastAsia"/>
        </w:rPr>
        <w:t>年</w:t>
      </w:r>
      <w:r w:rsidR="000F249F">
        <w:t>1</w:t>
      </w:r>
      <w:r w:rsidR="00E2051E">
        <w:t>2</w:t>
      </w:r>
      <w:r>
        <w:rPr>
          <w:rFonts w:hint="eastAsia"/>
        </w:rPr>
        <w:t>月</w:t>
      </w:r>
      <w:r w:rsidR="00BE0881">
        <w:t>23</w:t>
      </w:r>
      <w:r>
        <w:rPr>
          <w:rFonts w:hint="eastAsia"/>
        </w:rPr>
        <w:t>日（星期三）</w:t>
      </w:r>
    </w:p>
    <w:p w:rsidR="00004B55" w:rsidRDefault="00004B55" w:rsidP="003E0F25">
      <w:pPr>
        <w:spacing w:afterLines="50" w:after="120" w:line="240" w:lineRule="exact"/>
        <w:jc w:val="left"/>
        <w:rPr>
          <w:sz w:val="56"/>
        </w:rPr>
      </w:pPr>
      <w:proofErr w:type="gramStart"/>
      <w:r>
        <w:rPr>
          <w:rFonts w:hint="eastAsia"/>
          <w:b/>
          <w:spacing w:val="-100"/>
          <w:sz w:val="56"/>
        </w:rPr>
        <w:t>﹏﹏﹏﹏﹏﹏﹏﹏﹏﹏﹏﹏﹏﹏﹏﹏﹏﹏﹏﹏</w:t>
      </w:r>
      <w:proofErr w:type="gramEnd"/>
      <w:r>
        <w:rPr>
          <w:rFonts w:hint="eastAsia"/>
          <w:b/>
          <w:spacing w:val="-100"/>
          <w:sz w:val="56"/>
        </w:rPr>
        <w:t>﹏﹏﹏</w:t>
      </w:r>
    </w:p>
    <w:p w:rsidR="00004B55" w:rsidRDefault="00004B55" w:rsidP="00C724D4">
      <w:pPr>
        <w:spacing w:beforeLines="150" w:before="360" w:afterLines="100" w:after="240" w:line="240" w:lineRule="exact"/>
        <w:jc w:val="center"/>
        <w:rPr>
          <w:sz w:val="56"/>
        </w:rPr>
      </w:pPr>
      <w:proofErr w:type="gramStart"/>
      <w:r>
        <w:rPr>
          <w:rFonts w:hint="eastAsia"/>
          <w:b/>
          <w:spacing w:val="-100"/>
          <w:sz w:val="56"/>
        </w:rPr>
        <w:t>﹏﹏﹏﹏﹏﹏﹏﹏﹏﹏﹏﹏</w:t>
      </w:r>
      <w:proofErr w:type="gramEnd"/>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proofErr w:type="gramStart"/>
      <w:r>
        <w:rPr>
          <w:rFonts w:hint="eastAsia"/>
          <w:b/>
          <w:spacing w:val="-100"/>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rsidP="00EC15F0">
            <w:pPr>
              <w:pStyle w:val="af9"/>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2F29FC">
              <w:rPr>
                <w:rFonts w:hint="eastAsia"/>
              </w:rPr>
              <w:t>10</w:t>
            </w:r>
            <w:r w:rsidR="007C2856">
              <w:rPr>
                <w:rFonts w:hint="eastAsia"/>
              </w:rPr>
              <w:t>4</w:t>
            </w:r>
            <w:r>
              <w:rPr>
                <w:rFonts w:hint="eastAsia"/>
              </w:rPr>
              <w:t>年</w:t>
            </w:r>
            <w:r w:rsidR="000F249F">
              <w:rPr>
                <w:rFonts w:hint="eastAsia"/>
              </w:rPr>
              <w:t>1</w:t>
            </w:r>
            <w:r w:rsidR="00E2051E">
              <w:t>2</w:t>
            </w:r>
            <w:r>
              <w:rPr>
                <w:rFonts w:hint="eastAsia"/>
              </w:rPr>
              <w:t>月</w:t>
            </w:r>
            <w:r w:rsidR="00E9214C">
              <w:rPr>
                <w:rFonts w:hint="eastAsia"/>
              </w:rPr>
              <w:t>23</w:t>
            </w:r>
            <w:r>
              <w:rPr>
                <w:rFonts w:hint="eastAsia"/>
              </w:rPr>
              <w:t>日</w:t>
            </w:r>
          </w:p>
          <w:p w:rsidR="00004B55" w:rsidRDefault="00004B55">
            <w:pPr>
              <w:spacing w:line="240" w:lineRule="auto"/>
              <w:jc w:val="distribute"/>
              <w:rPr>
                <w:spacing w:val="-8"/>
              </w:rPr>
            </w:pPr>
            <w:r>
              <w:rPr>
                <w:rFonts w:hint="eastAsia"/>
              </w:rPr>
              <w:t>華總</w:t>
            </w:r>
            <w:proofErr w:type="gramStart"/>
            <w:r>
              <w:rPr>
                <w:rFonts w:hint="eastAsia"/>
              </w:rPr>
              <w:t>一義字第</w:t>
            </w:r>
            <w:r w:rsidR="009F146C">
              <w:rPr>
                <w:rFonts w:hint="eastAsia"/>
              </w:rPr>
              <w:t>10</w:t>
            </w:r>
            <w:r w:rsidR="007C2856">
              <w:rPr>
                <w:rFonts w:hint="eastAsia"/>
              </w:rPr>
              <w:t>4</w:t>
            </w:r>
            <w:r w:rsidR="00E9214C">
              <w:rPr>
                <w:rFonts w:hint="eastAsia"/>
              </w:rPr>
              <w:t>00149621</w:t>
            </w:r>
            <w:r>
              <w:rPr>
                <w:rFonts w:hint="eastAsia"/>
              </w:rPr>
              <w:t>號</w:t>
            </w:r>
            <w:proofErr w:type="gramEnd"/>
          </w:p>
        </w:tc>
      </w:tr>
    </w:tbl>
    <w:p w:rsidR="00004B55" w:rsidRDefault="00004B55" w:rsidP="00FE3DA7">
      <w:pPr>
        <w:pStyle w:val="10"/>
        <w:spacing w:before="120" w:after="120"/>
      </w:pPr>
      <w:r>
        <w:rPr>
          <w:rFonts w:hint="eastAsia"/>
        </w:rPr>
        <w:t>茲</w:t>
      </w:r>
      <w:r w:rsidR="00A120D3">
        <w:rPr>
          <w:rFonts w:hint="eastAsia"/>
        </w:rPr>
        <w:t>增訂</w:t>
      </w:r>
      <w:r w:rsidR="00FE3DA7" w:rsidRPr="00232281">
        <w:rPr>
          <w:rFonts w:hint="eastAsia"/>
        </w:rPr>
        <w:t>性侵害犯罪防治法第十三</w:t>
      </w:r>
      <w:r w:rsidR="00FE3DA7">
        <w:rPr>
          <w:rFonts w:hint="eastAsia"/>
        </w:rPr>
        <w:t>條</w:t>
      </w:r>
      <w:r w:rsidR="00FE3DA7" w:rsidRPr="00232281">
        <w:rPr>
          <w:rFonts w:hint="eastAsia"/>
        </w:rPr>
        <w:t>之一、第十五條之一、第十六條之</w:t>
      </w:r>
      <w:proofErr w:type="gramStart"/>
      <w:r w:rsidR="00FE3DA7" w:rsidRPr="00232281">
        <w:rPr>
          <w:rFonts w:hint="eastAsia"/>
        </w:rPr>
        <w:t>一</w:t>
      </w:r>
      <w:proofErr w:type="gramEnd"/>
      <w:r w:rsidR="00FE3DA7" w:rsidRPr="00232281">
        <w:rPr>
          <w:rFonts w:hint="eastAsia"/>
        </w:rPr>
        <w:t>及第十六條之二條文；並修正第二條、第三條、第八條、第十三條、第十七條、第二十條、第二十二條之</w:t>
      </w:r>
      <w:proofErr w:type="gramStart"/>
      <w:r w:rsidR="00FE3DA7" w:rsidRPr="00232281">
        <w:rPr>
          <w:rFonts w:hint="eastAsia"/>
        </w:rPr>
        <w:t>一</w:t>
      </w:r>
      <w:proofErr w:type="gramEnd"/>
      <w:r w:rsidR="00FE3DA7" w:rsidRPr="00232281">
        <w:rPr>
          <w:rFonts w:hint="eastAsia"/>
        </w:rPr>
        <w:t>及第二十五條條文</w:t>
      </w:r>
      <w:r>
        <w:rPr>
          <w:rFonts w:hint="eastAsia"/>
        </w:rPr>
        <w:t>，公布之。</w:t>
      </w:r>
    </w:p>
    <w:p w:rsidR="00CF12CD" w:rsidRPr="00B60426" w:rsidRDefault="00CF12CD" w:rsidP="00CF12CD">
      <w:pPr>
        <w:spacing w:beforeLines="50" w:before="120"/>
      </w:pPr>
      <w:r w:rsidRPr="00B60426">
        <w:rPr>
          <w:rFonts w:hint="eastAsia"/>
        </w:rPr>
        <w:t xml:space="preserve">總　　　統　</w:t>
      </w:r>
      <w:r w:rsidRPr="005A732B">
        <w:rPr>
          <w:rFonts w:ascii="標楷體" w:hAnsi="標楷體" w:hint="eastAsia"/>
          <w:szCs w:val="28"/>
        </w:rPr>
        <w:t>馬英九</w:t>
      </w:r>
    </w:p>
    <w:p w:rsidR="00CF12CD" w:rsidRPr="00B60426" w:rsidRDefault="00CF12CD" w:rsidP="00CF12CD">
      <w:r w:rsidRPr="00B60426">
        <w:rPr>
          <w:rFonts w:hint="eastAsia"/>
        </w:rPr>
        <w:t xml:space="preserve">行政院院長　</w:t>
      </w:r>
      <w:r>
        <w:rPr>
          <w:rFonts w:hint="eastAsia"/>
        </w:rPr>
        <w:t>毛治國</w:t>
      </w:r>
    </w:p>
    <w:p w:rsidR="009B24D0" w:rsidRPr="00CF12CD" w:rsidRDefault="00CF12CD" w:rsidP="00EC15F0">
      <w:pPr>
        <w:spacing w:afterLines="100" w:after="240"/>
      </w:pPr>
      <w:r w:rsidRPr="00E809C0">
        <w:rPr>
          <w:rFonts w:hint="eastAsia"/>
        </w:rPr>
        <w:t>衛生福利</w:t>
      </w:r>
      <w:r w:rsidRPr="00B60426">
        <w:rPr>
          <w:rFonts w:hint="eastAsia"/>
        </w:rPr>
        <w:t xml:space="preserve">部部長　</w:t>
      </w:r>
      <w:r>
        <w:rPr>
          <w:rFonts w:hint="eastAsia"/>
        </w:rPr>
        <w:t>蔣丙煌</w:t>
      </w:r>
    </w:p>
    <w:p w:rsidR="00FE3DA7" w:rsidRPr="00FE3DA7" w:rsidRDefault="00FE3DA7" w:rsidP="00FE3DA7">
      <w:pPr>
        <w:pStyle w:val="10"/>
        <w:spacing w:before="120" w:after="120"/>
        <w:rPr>
          <w:sz w:val="32"/>
          <w:szCs w:val="32"/>
        </w:rPr>
      </w:pPr>
      <w:r w:rsidRPr="00FE3DA7">
        <w:rPr>
          <w:rFonts w:hint="eastAsia"/>
          <w:sz w:val="32"/>
          <w:szCs w:val="32"/>
        </w:rPr>
        <w:t>性侵害犯罪防治法增訂第十三條之一、第十五條之一、第十六條之</w:t>
      </w:r>
      <w:proofErr w:type="gramStart"/>
      <w:r w:rsidRPr="00FE3DA7">
        <w:rPr>
          <w:rFonts w:hint="eastAsia"/>
          <w:sz w:val="32"/>
          <w:szCs w:val="32"/>
        </w:rPr>
        <w:t>一</w:t>
      </w:r>
      <w:proofErr w:type="gramEnd"/>
      <w:r w:rsidRPr="00FE3DA7">
        <w:rPr>
          <w:rFonts w:hint="eastAsia"/>
          <w:sz w:val="32"/>
          <w:szCs w:val="32"/>
        </w:rPr>
        <w:t>及第十六條之二條文；並修正第二條、第三條、第八條、第十三條、第十七條、第二十條、第二十二條之</w:t>
      </w:r>
      <w:proofErr w:type="gramStart"/>
      <w:r w:rsidRPr="00FE3DA7">
        <w:rPr>
          <w:rFonts w:hint="eastAsia"/>
          <w:sz w:val="32"/>
          <w:szCs w:val="32"/>
        </w:rPr>
        <w:t>一</w:t>
      </w:r>
      <w:proofErr w:type="gramEnd"/>
      <w:r w:rsidRPr="00FE3DA7">
        <w:rPr>
          <w:rFonts w:hint="eastAsia"/>
          <w:sz w:val="32"/>
          <w:szCs w:val="32"/>
        </w:rPr>
        <w:t>及第二十五</w:t>
      </w:r>
      <w:proofErr w:type="gramStart"/>
      <w:r w:rsidRPr="00FE3DA7">
        <w:rPr>
          <w:rFonts w:hint="eastAsia"/>
          <w:sz w:val="32"/>
          <w:szCs w:val="32"/>
        </w:rPr>
        <w:t>條</w:t>
      </w:r>
      <w:proofErr w:type="gramEnd"/>
      <w:r w:rsidRPr="00FE3DA7">
        <w:rPr>
          <w:rFonts w:hint="eastAsia"/>
          <w:sz w:val="32"/>
          <w:szCs w:val="32"/>
        </w:rPr>
        <w:t>條文</w:t>
      </w:r>
    </w:p>
    <w:p w:rsidR="00004B55" w:rsidRDefault="00004B55" w:rsidP="00C25754">
      <w:pPr>
        <w:spacing w:afterLines="50" w:after="120" w:line="455" w:lineRule="exact"/>
      </w:pPr>
      <w:r>
        <w:rPr>
          <w:rFonts w:hint="eastAsia"/>
        </w:rPr>
        <w:t>中華民國</w:t>
      </w:r>
      <w:r w:rsidR="002F29FC">
        <w:rPr>
          <w:rFonts w:hint="eastAsia"/>
        </w:rPr>
        <w:t>10</w:t>
      </w:r>
      <w:r w:rsidR="007C2856">
        <w:rPr>
          <w:rFonts w:hint="eastAsia"/>
        </w:rPr>
        <w:t>4</w:t>
      </w:r>
      <w:r>
        <w:rPr>
          <w:rFonts w:hint="eastAsia"/>
        </w:rPr>
        <w:t>年</w:t>
      </w:r>
      <w:r w:rsidR="000F249F">
        <w:rPr>
          <w:rFonts w:hint="eastAsia"/>
        </w:rPr>
        <w:t>1</w:t>
      </w:r>
      <w:r w:rsidR="00E2051E">
        <w:t>2</w:t>
      </w:r>
      <w:r>
        <w:rPr>
          <w:rFonts w:hint="eastAsia"/>
        </w:rPr>
        <w:t>月</w:t>
      </w:r>
      <w:r w:rsidR="00FE3DA7">
        <w:rPr>
          <w:rFonts w:hint="eastAsia"/>
        </w:rPr>
        <w:t>23</w:t>
      </w:r>
      <w:r>
        <w:rPr>
          <w:rFonts w:hint="eastAsia"/>
        </w:rPr>
        <w:t>日公布</w:t>
      </w:r>
    </w:p>
    <w:p w:rsidR="00FE3DA7" w:rsidRDefault="00FE3DA7" w:rsidP="00C25754">
      <w:pPr>
        <w:pStyle w:val="a6"/>
        <w:spacing w:line="455" w:lineRule="exact"/>
        <w:ind w:left="1400" w:hanging="1400"/>
      </w:pPr>
      <w:r>
        <w:rPr>
          <w:rFonts w:hint="eastAsia"/>
        </w:rPr>
        <w:t>第　二　條　　本法</w:t>
      </w:r>
      <w:proofErr w:type="gramStart"/>
      <w:r>
        <w:rPr>
          <w:rFonts w:hint="eastAsia"/>
        </w:rPr>
        <w:t>所稱性侵害</w:t>
      </w:r>
      <w:proofErr w:type="gramEnd"/>
      <w:r>
        <w:rPr>
          <w:rFonts w:hint="eastAsia"/>
        </w:rPr>
        <w:t>犯罪，係指觸犯刑法第二百二十一條至第二百二十七條、第二百二十八條、第二百二十九條、</w:t>
      </w:r>
      <w:r>
        <w:rPr>
          <w:rFonts w:hint="eastAsia"/>
        </w:rPr>
        <w:lastRenderedPageBreak/>
        <w:t>第三百三十二條第二項第二款、第三百三十四條第二項第二款、第三百四十八條第二項第一款及其特別法之罪。</w:t>
      </w:r>
    </w:p>
    <w:p w:rsidR="00FE3DA7" w:rsidRDefault="00FE3DA7" w:rsidP="00C25754">
      <w:pPr>
        <w:pStyle w:val="a7"/>
        <w:spacing w:line="455" w:lineRule="exact"/>
        <w:ind w:left="1400" w:firstLine="560"/>
      </w:pPr>
      <w:r>
        <w:rPr>
          <w:rFonts w:hint="eastAsia"/>
        </w:rPr>
        <w:t>本法所稱加害人，係指觸犯前項各罪經判決有罪確定之人。</w:t>
      </w:r>
    </w:p>
    <w:p w:rsidR="00FE3DA7" w:rsidRDefault="00FE3DA7" w:rsidP="00C25754">
      <w:pPr>
        <w:pStyle w:val="a7"/>
        <w:spacing w:line="474" w:lineRule="exact"/>
        <w:ind w:left="1400" w:firstLine="560"/>
      </w:pPr>
      <w:r>
        <w:rPr>
          <w:rFonts w:hint="eastAsia"/>
        </w:rPr>
        <w:t>犯第一項各</w:t>
      </w:r>
      <w:proofErr w:type="gramStart"/>
      <w:r>
        <w:rPr>
          <w:rFonts w:hint="eastAsia"/>
        </w:rPr>
        <w:t>罪經緩起訴</w:t>
      </w:r>
      <w:proofErr w:type="gramEnd"/>
      <w:r>
        <w:rPr>
          <w:rFonts w:hint="eastAsia"/>
        </w:rPr>
        <w:t>處分確定者及犯性騷擾防治法第二十五條判決有罪確定者，除第九條、第二十二條、第二十二條之</w:t>
      </w:r>
      <w:proofErr w:type="gramStart"/>
      <w:r>
        <w:rPr>
          <w:rFonts w:hint="eastAsia"/>
        </w:rPr>
        <w:t>一</w:t>
      </w:r>
      <w:proofErr w:type="gramEnd"/>
      <w:r>
        <w:rPr>
          <w:rFonts w:hint="eastAsia"/>
        </w:rPr>
        <w:t>及第二十三條規定外，適用本法關於加害人之規定。</w:t>
      </w:r>
    </w:p>
    <w:p w:rsidR="00FE3DA7" w:rsidRDefault="00FE3DA7" w:rsidP="00C25754">
      <w:pPr>
        <w:pStyle w:val="a6"/>
        <w:spacing w:line="474" w:lineRule="exact"/>
        <w:ind w:left="1400" w:hanging="1400"/>
      </w:pPr>
      <w:r>
        <w:rPr>
          <w:rFonts w:hint="eastAsia"/>
        </w:rPr>
        <w:t>第　三　條　　本法所稱主管機關：在中央為衛生福利部；在直轄市為直轄市政府；在縣（市）為縣（市）政府。</w:t>
      </w:r>
    </w:p>
    <w:p w:rsidR="00FE3DA7" w:rsidRDefault="00FE3DA7" w:rsidP="00C25754">
      <w:pPr>
        <w:pStyle w:val="a7"/>
        <w:spacing w:line="474" w:lineRule="exact"/>
        <w:ind w:left="1400" w:firstLine="560"/>
      </w:pPr>
      <w:r>
        <w:rPr>
          <w:rFonts w:hint="eastAsia"/>
        </w:rPr>
        <w:t>本法所定事項，主管機關及目的事業主管機關應就其權責範圍，針對性侵害防治之需要，尊重多元文化差異，主動規劃所需保護、預防及宣導措施，對涉及相關機關之防治業務，並應全力配合之，其權責事項如下：</w:t>
      </w:r>
    </w:p>
    <w:p w:rsidR="00FE3DA7" w:rsidRDefault="00FE3DA7" w:rsidP="00C25754">
      <w:pPr>
        <w:pStyle w:val="11"/>
        <w:spacing w:line="474" w:lineRule="exact"/>
        <w:ind w:left="2450" w:hangingChars="175" w:hanging="490"/>
      </w:pPr>
      <w:r>
        <w:rPr>
          <w:rFonts w:hint="eastAsia"/>
        </w:rPr>
        <w:t>一、社政主管機關：性侵害被害人保護扶助工作、性侵害防治政策之規劃、推動、監督及定期公布性侵害相關統計等相關事宜。</w:t>
      </w:r>
    </w:p>
    <w:p w:rsidR="00FE3DA7" w:rsidRDefault="00FE3DA7" w:rsidP="00C25754">
      <w:pPr>
        <w:pStyle w:val="11"/>
        <w:spacing w:line="474" w:lineRule="exact"/>
        <w:ind w:left="2464" w:hangingChars="180" w:hanging="504"/>
      </w:pPr>
      <w:r>
        <w:rPr>
          <w:rFonts w:hint="eastAsia"/>
        </w:rPr>
        <w:t>二、衛生主管機關：性侵害被害人驗傷、</w:t>
      </w:r>
      <w:proofErr w:type="gramStart"/>
      <w:r>
        <w:rPr>
          <w:rFonts w:hint="eastAsia"/>
        </w:rPr>
        <w:t>採</w:t>
      </w:r>
      <w:proofErr w:type="gramEnd"/>
      <w:r>
        <w:rPr>
          <w:rFonts w:hint="eastAsia"/>
        </w:rPr>
        <w:t>證、身心治療及加害人身心治療、輔導教育等相關事宜。</w:t>
      </w:r>
    </w:p>
    <w:p w:rsidR="00FE3DA7" w:rsidRDefault="00FE3DA7" w:rsidP="00C25754">
      <w:pPr>
        <w:pStyle w:val="11"/>
        <w:spacing w:line="474" w:lineRule="exact"/>
        <w:ind w:left="2450" w:hangingChars="175" w:hanging="490"/>
      </w:pPr>
      <w:r>
        <w:rPr>
          <w:rFonts w:hint="eastAsia"/>
        </w:rPr>
        <w:t>三、教育主管機關：各級學校性侵害防治教育、性侵害被害人及其子女就學權益之維護等相關事宜。</w:t>
      </w:r>
    </w:p>
    <w:p w:rsidR="00FE3DA7" w:rsidRDefault="00FE3DA7" w:rsidP="00C25754">
      <w:pPr>
        <w:pStyle w:val="11"/>
        <w:spacing w:line="474" w:lineRule="exact"/>
        <w:ind w:left="2450" w:hangingChars="175" w:hanging="490"/>
      </w:pPr>
      <w:r>
        <w:rPr>
          <w:rFonts w:hint="eastAsia"/>
        </w:rPr>
        <w:lastRenderedPageBreak/>
        <w:t>四、勞工主管機關：性侵害被害人職業訓練及就業服務等相關事宜。</w:t>
      </w:r>
    </w:p>
    <w:p w:rsidR="00FE3DA7" w:rsidRDefault="00FE3DA7" w:rsidP="00C25754">
      <w:pPr>
        <w:pStyle w:val="11"/>
        <w:spacing w:line="474" w:lineRule="exact"/>
        <w:ind w:left="2464" w:hangingChars="180" w:hanging="504"/>
      </w:pPr>
      <w:r>
        <w:rPr>
          <w:rFonts w:hint="eastAsia"/>
        </w:rPr>
        <w:t>五、警政主管機關：性侵害被害人人身安全之維護、性侵害犯罪偵查、資料統計、加害人登記報到、查訪、查閱等相關事宜。</w:t>
      </w:r>
    </w:p>
    <w:p w:rsidR="00FE3DA7" w:rsidRDefault="00FE3DA7" w:rsidP="00C25754">
      <w:pPr>
        <w:pStyle w:val="11"/>
        <w:spacing w:line="474" w:lineRule="exact"/>
        <w:ind w:left="2464" w:hangingChars="180" w:hanging="504"/>
      </w:pPr>
      <w:r>
        <w:rPr>
          <w:rFonts w:hint="eastAsia"/>
        </w:rPr>
        <w:t>六、法務主管機關：性侵害犯罪之偵查、矯正、獄中治療等刑事司法相關事宜。</w:t>
      </w:r>
    </w:p>
    <w:p w:rsidR="00FE3DA7" w:rsidRDefault="00FE3DA7" w:rsidP="00C25754">
      <w:pPr>
        <w:pStyle w:val="11"/>
        <w:spacing w:line="438" w:lineRule="exact"/>
        <w:ind w:left="2450" w:hangingChars="175" w:hanging="490"/>
      </w:pPr>
      <w:r>
        <w:rPr>
          <w:rFonts w:hint="eastAsia"/>
        </w:rPr>
        <w:t>七、移民主管機關：外籍人士、大陸地區人民或港澳居民因遭受性侵害致逾期停留、居留及協助其在</w:t>
      </w:r>
      <w:proofErr w:type="gramStart"/>
      <w:r>
        <w:rPr>
          <w:rFonts w:hint="eastAsia"/>
        </w:rPr>
        <w:t>臺</w:t>
      </w:r>
      <w:proofErr w:type="gramEnd"/>
      <w:r>
        <w:rPr>
          <w:rFonts w:hint="eastAsia"/>
        </w:rPr>
        <w:t>居留或定居權益維護與加害人為外籍人士、大陸地區人民或港澳居民，配合協助辦理後續遣返事宜。</w:t>
      </w:r>
    </w:p>
    <w:p w:rsidR="00FE3DA7" w:rsidRDefault="00FE3DA7" w:rsidP="00C25754">
      <w:pPr>
        <w:pStyle w:val="11"/>
        <w:spacing w:line="438" w:lineRule="exact"/>
        <w:ind w:left="2450" w:hangingChars="175" w:hanging="490"/>
      </w:pPr>
      <w:r>
        <w:rPr>
          <w:rFonts w:hint="eastAsia"/>
        </w:rPr>
        <w:t>八、文化主管機關：出版品違反本法規定之處理等相關事宜。</w:t>
      </w:r>
    </w:p>
    <w:p w:rsidR="00FE3DA7" w:rsidRDefault="00FE3DA7" w:rsidP="00C25754">
      <w:pPr>
        <w:pStyle w:val="11"/>
        <w:spacing w:line="438" w:lineRule="exact"/>
        <w:ind w:left="2450" w:hangingChars="175" w:hanging="490"/>
      </w:pPr>
      <w:r>
        <w:rPr>
          <w:rFonts w:hint="eastAsia"/>
        </w:rPr>
        <w:t>九、通訊傳播主管機關：廣播、電視及其他由該機關依法管理之媒體違反本法規定之處理等相關事宜。</w:t>
      </w:r>
    </w:p>
    <w:p w:rsidR="00FE3DA7" w:rsidRDefault="00FE3DA7" w:rsidP="00C25754">
      <w:pPr>
        <w:pStyle w:val="11"/>
        <w:spacing w:line="438" w:lineRule="exact"/>
        <w:ind w:left="2436" w:hangingChars="170" w:hanging="476"/>
      </w:pPr>
      <w:r>
        <w:rPr>
          <w:rFonts w:hint="eastAsia"/>
        </w:rPr>
        <w:t>十、戶政主管機關：性侵害被害人及其未成年子女身分資料及戶籍等相關事宜。</w:t>
      </w:r>
    </w:p>
    <w:p w:rsidR="00FE3DA7" w:rsidRDefault="00FE3DA7" w:rsidP="00C25754">
      <w:pPr>
        <w:pStyle w:val="11"/>
        <w:spacing w:line="438" w:lineRule="exact"/>
        <w:ind w:left="2716" w:hangingChars="270" w:hanging="756"/>
      </w:pPr>
      <w:r>
        <w:rPr>
          <w:rFonts w:hint="eastAsia"/>
        </w:rPr>
        <w:t>十一、其他性侵害防治措施，由相關目的事業主管機關依職權辦理。</w:t>
      </w:r>
    </w:p>
    <w:p w:rsidR="00FE3DA7" w:rsidRDefault="00FE3DA7" w:rsidP="00C25754">
      <w:pPr>
        <w:pStyle w:val="a6"/>
        <w:spacing w:line="438" w:lineRule="exact"/>
        <w:ind w:left="1400" w:hanging="1400"/>
      </w:pPr>
      <w:r>
        <w:rPr>
          <w:rFonts w:hint="eastAsia"/>
        </w:rPr>
        <w:t xml:space="preserve">第　八　條　　</w:t>
      </w:r>
      <w:proofErr w:type="gramStart"/>
      <w:r>
        <w:rPr>
          <w:rFonts w:hint="eastAsia"/>
        </w:rPr>
        <w:t>醫</w:t>
      </w:r>
      <w:proofErr w:type="gramEnd"/>
      <w:r>
        <w:rPr>
          <w:rFonts w:hint="eastAsia"/>
        </w:rPr>
        <w:t>事人員、社工人員、教育人員、保育人員、警察人員、</w:t>
      </w:r>
      <w:proofErr w:type="gramStart"/>
      <w:r>
        <w:rPr>
          <w:rFonts w:hint="eastAsia"/>
        </w:rPr>
        <w:t>勞</w:t>
      </w:r>
      <w:proofErr w:type="gramEnd"/>
      <w:r>
        <w:rPr>
          <w:rFonts w:hint="eastAsia"/>
        </w:rPr>
        <w:t>政人員、司法人員、移民業務人員、矯正人員、村</w:t>
      </w:r>
      <w:r>
        <w:rPr>
          <w:rFonts w:hint="eastAsia"/>
        </w:rPr>
        <w:lastRenderedPageBreak/>
        <w:t>（里）幹事人員，於執行</w:t>
      </w:r>
      <w:proofErr w:type="gramStart"/>
      <w:r>
        <w:rPr>
          <w:rFonts w:hint="eastAsia"/>
        </w:rPr>
        <w:t>職務時知有</w:t>
      </w:r>
      <w:proofErr w:type="gramEnd"/>
      <w:r>
        <w:rPr>
          <w:rFonts w:hint="eastAsia"/>
        </w:rPr>
        <w:t>疑似性侵害犯罪情事者，應立即向當地直轄市、縣（市）主管機關通報，至遲不得超過二十四小時。</w:t>
      </w:r>
    </w:p>
    <w:p w:rsidR="00FE3DA7" w:rsidRDefault="00FE3DA7" w:rsidP="00C25754">
      <w:pPr>
        <w:pStyle w:val="a7"/>
        <w:spacing w:line="438" w:lineRule="exact"/>
        <w:ind w:left="1400" w:firstLine="560"/>
      </w:pPr>
      <w:r>
        <w:rPr>
          <w:rFonts w:hint="eastAsia"/>
        </w:rPr>
        <w:t>前項通報內容、通報人之姓名、住居所及其他足資識別其身分之資訊，除法律另有規定外，應予保密。</w:t>
      </w:r>
    </w:p>
    <w:p w:rsidR="00FE3DA7" w:rsidRDefault="00FE3DA7" w:rsidP="00C25754">
      <w:pPr>
        <w:pStyle w:val="a7"/>
        <w:spacing w:line="438" w:lineRule="exact"/>
        <w:ind w:left="1400" w:firstLine="536"/>
      </w:pPr>
      <w:r w:rsidRPr="006A3B9C">
        <w:rPr>
          <w:rFonts w:hint="eastAsia"/>
          <w:spacing w:val="-6"/>
        </w:rPr>
        <w:t>直轄市、縣（市）主管機關於知悉或接獲第一項通報時，</w:t>
      </w:r>
      <w:r>
        <w:rPr>
          <w:rFonts w:hint="eastAsia"/>
        </w:rPr>
        <w:t>應立即進行分級分類處理，至遲不得超過二十四小時。</w:t>
      </w:r>
    </w:p>
    <w:p w:rsidR="00FE3DA7" w:rsidRDefault="00FE3DA7" w:rsidP="00C25754">
      <w:pPr>
        <w:pStyle w:val="a7"/>
        <w:spacing w:line="438" w:lineRule="exact"/>
        <w:ind w:left="1400" w:firstLine="560"/>
      </w:pPr>
      <w:r>
        <w:rPr>
          <w:rFonts w:hint="eastAsia"/>
        </w:rPr>
        <w:t>前項通報及分級分類處理辦法，由中央主管機關定之。</w:t>
      </w:r>
    </w:p>
    <w:p w:rsidR="00FE3DA7" w:rsidRDefault="006A3B9C" w:rsidP="00C25754">
      <w:pPr>
        <w:pStyle w:val="a6"/>
        <w:spacing w:line="438" w:lineRule="exact"/>
        <w:ind w:left="1406" w:hangingChars="370" w:hanging="1406"/>
      </w:pPr>
      <w:r>
        <w:rPr>
          <w:rFonts w:hint="eastAsia"/>
          <w:spacing w:val="50"/>
        </w:rPr>
        <w:t>第十</w:t>
      </w:r>
      <w:r>
        <w:rPr>
          <w:spacing w:val="50"/>
        </w:rPr>
        <w:t>三</w:t>
      </w:r>
      <w:r>
        <w:rPr>
          <w:rFonts w:hint="eastAsia"/>
          <w:spacing w:val="50"/>
        </w:rPr>
        <w:t>條</w:t>
      </w:r>
      <w:r>
        <w:rPr>
          <w:rFonts w:hint="eastAsia"/>
          <w:spacing w:val="-30"/>
        </w:rPr>
        <w:t xml:space="preserve">　　</w:t>
      </w:r>
      <w:r w:rsidR="00FE3DA7">
        <w:rPr>
          <w:rFonts w:hint="eastAsia"/>
        </w:rPr>
        <w:t>宣傳品、出版品、廣播、電視、網際網路或其他媒體不得報導或記載有被害人之姓名或其他足資辨別身分之資訊。但經有行為能力之被害人同意、檢察官或法院依法認為有必要者，不在此限。</w:t>
      </w:r>
    </w:p>
    <w:p w:rsidR="00FE3DA7" w:rsidRDefault="00FE3DA7" w:rsidP="00C25754">
      <w:pPr>
        <w:pStyle w:val="a7"/>
        <w:spacing w:line="455" w:lineRule="exact"/>
        <w:ind w:left="1400" w:firstLine="560"/>
      </w:pPr>
      <w:r>
        <w:rPr>
          <w:rFonts w:hint="eastAsia"/>
        </w:rPr>
        <w:t>前項以外之任何人不得以媒體或其他方法公開或揭露第一項被害人之姓名及其他足資識別身分之資訊。</w:t>
      </w:r>
    </w:p>
    <w:p w:rsidR="00FE3DA7" w:rsidRDefault="00FE3DA7" w:rsidP="00C25754">
      <w:pPr>
        <w:pStyle w:val="a7"/>
        <w:spacing w:line="455" w:lineRule="exact"/>
        <w:ind w:left="1400" w:firstLine="560"/>
      </w:pPr>
      <w:r>
        <w:rPr>
          <w:rFonts w:hint="eastAsia"/>
        </w:rPr>
        <w:t>第一項但書規定，於被害人死亡經目的事業主管機關權衡社會公益，認有報導或揭露必要者，亦同。</w:t>
      </w:r>
    </w:p>
    <w:p w:rsidR="00FE3DA7" w:rsidRDefault="006A3B9C" w:rsidP="00C25754">
      <w:pPr>
        <w:pStyle w:val="a6"/>
        <w:spacing w:line="455" w:lineRule="exact"/>
        <w:ind w:left="1440" w:hangingChars="610" w:hanging="1440"/>
      </w:pPr>
      <w:r>
        <w:rPr>
          <w:rFonts w:hint="eastAsia"/>
          <w:spacing w:val="-2"/>
          <w:sz w:val="24"/>
        </w:rPr>
        <w:t>第十</w:t>
      </w:r>
      <w:r>
        <w:rPr>
          <w:spacing w:val="-2"/>
          <w:sz w:val="24"/>
        </w:rPr>
        <w:t>三</w:t>
      </w:r>
      <w:r>
        <w:rPr>
          <w:rFonts w:hint="eastAsia"/>
          <w:spacing w:val="-2"/>
          <w:sz w:val="24"/>
        </w:rPr>
        <w:t>條之</w:t>
      </w:r>
      <w:proofErr w:type="gramStart"/>
      <w:r>
        <w:rPr>
          <w:rFonts w:hint="eastAsia"/>
          <w:spacing w:val="-2"/>
          <w:sz w:val="24"/>
        </w:rPr>
        <w:t>一</w:t>
      </w:r>
      <w:proofErr w:type="gramEnd"/>
      <w:r>
        <w:rPr>
          <w:rFonts w:hint="eastAsia"/>
          <w:spacing w:val="-4"/>
        </w:rPr>
        <w:t xml:space="preserve">　　</w:t>
      </w:r>
      <w:r w:rsidR="00FE3DA7">
        <w:rPr>
          <w:rFonts w:hint="eastAsia"/>
        </w:rPr>
        <w:t>廣播、電視事業違反前條第一項規定者，由目的事業主管機關處新臺幣六萬元以上六十萬元以下罰鍰，並命其限期改正；屆期未改正者，得按次處罰。</w:t>
      </w:r>
    </w:p>
    <w:p w:rsidR="00FE3DA7" w:rsidRDefault="00FE3DA7" w:rsidP="00C25754">
      <w:pPr>
        <w:pStyle w:val="a7"/>
        <w:spacing w:line="455" w:lineRule="exact"/>
        <w:ind w:left="1400" w:firstLine="560"/>
      </w:pPr>
      <w:r>
        <w:rPr>
          <w:rFonts w:hint="eastAsia"/>
        </w:rPr>
        <w:t>前項以外之宣傳品、出版品、網際網路或其他媒體違反前條第一項規定者，由目的事業主管機關處負責人新臺</w:t>
      </w:r>
      <w:bookmarkStart w:id="0" w:name="_GoBack"/>
      <w:r>
        <w:rPr>
          <w:rFonts w:hint="eastAsia"/>
        </w:rPr>
        <w:t>幣六萬元以上六十萬元以下罰鍰，並得沒入前條規定之物</w:t>
      </w:r>
      <w:bookmarkEnd w:id="0"/>
      <w:r>
        <w:rPr>
          <w:rFonts w:hint="eastAsia"/>
        </w:rPr>
        <w:lastRenderedPageBreak/>
        <w:t>品、</w:t>
      </w:r>
      <w:r w:rsidRPr="006A3B9C">
        <w:rPr>
          <w:rFonts w:hint="eastAsia"/>
          <w:spacing w:val="-6"/>
        </w:rPr>
        <w:t>命其限期移除內容、下架或其他必要之處置；屆期不履行者，</w:t>
      </w:r>
      <w:r>
        <w:rPr>
          <w:rFonts w:hint="eastAsia"/>
        </w:rPr>
        <w:t>得按次處罰至履行為止。</w:t>
      </w:r>
    </w:p>
    <w:p w:rsidR="00FE3DA7" w:rsidRDefault="00FE3DA7" w:rsidP="00C25754">
      <w:pPr>
        <w:pStyle w:val="a7"/>
        <w:spacing w:line="455" w:lineRule="exact"/>
        <w:ind w:left="1400" w:firstLine="560"/>
      </w:pPr>
      <w:r>
        <w:rPr>
          <w:rFonts w:hint="eastAsia"/>
        </w:rPr>
        <w:t>前二項以外之任何人違反前條第二項規定而無正當理由者，處新臺幣二萬元以上十萬元以下罰鍰。</w:t>
      </w:r>
    </w:p>
    <w:p w:rsidR="00FE3DA7" w:rsidRDefault="00FE3DA7" w:rsidP="00C25754">
      <w:pPr>
        <w:pStyle w:val="a7"/>
        <w:spacing w:line="455" w:lineRule="exact"/>
        <w:ind w:left="1400" w:firstLine="560"/>
      </w:pPr>
      <w:r>
        <w:rPr>
          <w:rFonts w:hint="eastAsia"/>
        </w:rPr>
        <w:t>宣傳品、出版品、網際網路或其他媒體無負責人或負責人對行為人之行為不具監督關係者，第二項所定之罰鍰，處罰行為人。</w:t>
      </w:r>
    </w:p>
    <w:p w:rsidR="00FE3DA7" w:rsidRDefault="00162C7E" w:rsidP="00C25754">
      <w:pPr>
        <w:pStyle w:val="a6"/>
        <w:spacing w:line="455" w:lineRule="exact"/>
        <w:ind w:left="1440" w:hangingChars="610" w:hanging="1440"/>
      </w:pPr>
      <w:r>
        <w:rPr>
          <w:rFonts w:hint="eastAsia"/>
          <w:spacing w:val="-2"/>
          <w:sz w:val="24"/>
        </w:rPr>
        <w:t>第十</w:t>
      </w:r>
      <w:r>
        <w:rPr>
          <w:spacing w:val="-2"/>
          <w:sz w:val="24"/>
        </w:rPr>
        <w:t>五</w:t>
      </w:r>
      <w:r>
        <w:rPr>
          <w:rFonts w:hint="eastAsia"/>
          <w:spacing w:val="-2"/>
          <w:sz w:val="24"/>
        </w:rPr>
        <w:t>條之</w:t>
      </w:r>
      <w:proofErr w:type="gramStart"/>
      <w:r>
        <w:rPr>
          <w:rFonts w:hint="eastAsia"/>
          <w:spacing w:val="-2"/>
          <w:sz w:val="24"/>
        </w:rPr>
        <w:t>一</w:t>
      </w:r>
      <w:proofErr w:type="gramEnd"/>
      <w:r>
        <w:rPr>
          <w:rFonts w:hint="eastAsia"/>
          <w:spacing w:val="-4"/>
        </w:rPr>
        <w:t xml:space="preserve">　　</w:t>
      </w:r>
      <w:r w:rsidR="00FE3DA7">
        <w:rPr>
          <w:rFonts w:hint="eastAsia"/>
        </w:rPr>
        <w:t>兒童或心智障礙之性侵害被害人於偵查或審判階段，經司法警察、司法警察官、檢察事務官、檢察官或法官認有必要時，應由具相關專業人士</w:t>
      </w:r>
      <w:proofErr w:type="gramStart"/>
      <w:r w:rsidR="00FE3DA7">
        <w:rPr>
          <w:rFonts w:hint="eastAsia"/>
        </w:rPr>
        <w:t>在場協助詢</w:t>
      </w:r>
      <w:proofErr w:type="gramEnd"/>
      <w:r w:rsidR="00FE3DA7">
        <w:rPr>
          <w:rFonts w:hint="eastAsia"/>
        </w:rPr>
        <w:t>（訊）問。但司法警察、司法警察官、檢察事務官、檢察官或法官受有相關訓練者，不在此限。</w:t>
      </w:r>
    </w:p>
    <w:p w:rsidR="00FE3DA7" w:rsidRDefault="00FE3DA7" w:rsidP="00C25754">
      <w:pPr>
        <w:pStyle w:val="a7"/>
        <w:spacing w:line="455" w:lineRule="exact"/>
        <w:ind w:left="1400" w:firstLine="560"/>
      </w:pPr>
      <w:r>
        <w:rPr>
          <w:rFonts w:hint="eastAsia"/>
        </w:rPr>
        <w:t>前項專業人士於協助</w:t>
      </w:r>
      <w:proofErr w:type="gramStart"/>
      <w:r>
        <w:rPr>
          <w:rFonts w:hint="eastAsia"/>
        </w:rPr>
        <w:t>詢</w:t>
      </w:r>
      <w:proofErr w:type="gramEnd"/>
      <w:r>
        <w:rPr>
          <w:rFonts w:hint="eastAsia"/>
        </w:rPr>
        <w:t>（訊）問時，司法警察、司法警察官、檢察事務官、檢察官或法官，得透過單面鏡、聲音影像相互傳送之科技設備，或適當隔離措施為之。</w:t>
      </w:r>
    </w:p>
    <w:p w:rsidR="00FE3DA7" w:rsidRDefault="00FE3DA7" w:rsidP="00C25754">
      <w:pPr>
        <w:pStyle w:val="a7"/>
        <w:spacing w:line="455" w:lineRule="exact"/>
        <w:ind w:left="1400" w:firstLine="560"/>
      </w:pPr>
      <w:r>
        <w:rPr>
          <w:rFonts w:hint="eastAsia"/>
        </w:rPr>
        <w:t>當事人、代理人或辯護人詰問兒童或心智障礙之性侵害被害人時，</w:t>
      </w:r>
      <w:proofErr w:type="gramStart"/>
      <w:r>
        <w:rPr>
          <w:rFonts w:hint="eastAsia"/>
        </w:rPr>
        <w:t>準</w:t>
      </w:r>
      <w:proofErr w:type="gramEnd"/>
      <w:r>
        <w:rPr>
          <w:rFonts w:hint="eastAsia"/>
        </w:rPr>
        <w:t>用前二項之規定。</w:t>
      </w:r>
    </w:p>
    <w:p w:rsidR="00FE3DA7" w:rsidRDefault="00162C7E" w:rsidP="00C25754">
      <w:pPr>
        <w:pStyle w:val="a6"/>
        <w:spacing w:line="455" w:lineRule="exact"/>
        <w:ind w:left="1440" w:hangingChars="610" w:hanging="1440"/>
      </w:pPr>
      <w:r>
        <w:rPr>
          <w:rFonts w:hint="eastAsia"/>
          <w:spacing w:val="-2"/>
          <w:sz w:val="24"/>
        </w:rPr>
        <w:t>第十</w:t>
      </w:r>
      <w:r>
        <w:rPr>
          <w:spacing w:val="-2"/>
          <w:sz w:val="24"/>
        </w:rPr>
        <w:t>六</w:t>
      </w:r>
      <w:r>
        <w:rPr>
          <w:rFonts w:hint="eastAsia"/>
          <w:spacing w:val="-2"/>
          <w:sz w:val="24"/>
        </w:rPr>
        <w:t>條之</w:t>
      </w:r>
      <w:proofErr w:type="gramStart"/>
      <w:r>
        <w:rPr>
          <w:rFonts w:hint="eastAsia"/>
          <w:spacing w:val="-2"/>
          <w:sz w:val="24"/>
        </w:rPr>
        <w:t>一</w:t>
      </w:r>
      <w:proofErr w:type="gramEnd"/>
      <w:r>
        <w:rPr>
          <w:rFonts w:hint="eastAsia"/>
          <w:spacing w:val="-4"/>
        </w:rPr>
        <w:t xml:space="preserve">　　</w:t>
      </w:r>
      <w:r w:rsidR="00FE3DA7">
        <w:rPr>
          <w:rFonts w:hint="eastAsia"/>
        </w:rPr>
        <w:t>於偵查或審判中，檢察官或法院得依職權</w:t>
      </w:r>
      <w:proofErr w:type="gramStart"/>
      <w:r w:rsidR="00FE3DA7">
        <w:rPr>
          <w:rFonts w:hint="eastAsia"/>
        </w:rPr>
        <w:t>或依聲請</w:t>
      </w:r>
      <w:proofErr w:type="gramEnd"/>
      <w:r w:rsidR="00FE3DA7">
        <w:rPr>
          <w:rFonts w:hint="eastAsia"/>
        </w:rPr>
        <w:t>指定或選任相關領域之專家證人，提供專業意見，經傳喚到庭陳述，得為證據。</w:t>
      </w:r>
    </w:p>
    <w:p w:rsidR="00FE3DA7" w:rsidRDefault="00FE3DA7" w:rsidP="00C25754">
      <w:pPr>
        <w:pStyle w:val="a7"/>
        <w:spacing w:line="455" w:lineRule="exact"/>
        <w:ind w:left="1400" w:firstLine="560"/>
      </w:pPr>
      <w:r>
        <w:rPr>
          <w:rFonts w:hint="eastAsia"/>
        </w:rPr>
        <w:t>前項規定，</w:t>
      </w:r>
      <w:proofErr w:type="gramStart"/>
      <w:r>
        <w:rPr>
          <w:rFonts w:hint="eastAsia"/>
        </w:rPr>
        <w:t>準</w:t>
      </w:r>
      <w:proofErr w:type="gramEnd"/>
      <w:r>
        <w:rPr>
          <w:rFonts w:hint="eastAsia"/>
        </w:rPr>
        <w:t>用刑事訴訟法第一百六十三條至第一百七十一條、第一百七十五條及第一百九十九條。</w:t>
      </w:r>
    </w:p>
    <w:p w:rsidR="00FE3DA7" w:rsidRDefault="00162C7E" w:rsidP="00C25754">
      <w:pPr>
        <w:pStyle w:val="a6"/>
        <w:spacing w:line="455" w:lineRule="exact"/>
        <w:ind w:left="1440" w:hangingChars="610" w:hanging="1440"/>
      </w:pPr>
      <w:r>
        <w:rPr>
          <w:rFonts w:hint="eastAsia"/>
          <w:spacing w:val="-2"/>
          <w:sz w:val="24"/>
        </w:rPr>
        <w:lastRenderedPageBreak/>
        <w:t>第十</w:t>
      </w:r>
      <w:r>
        <w:rPr>
          <w:spacing w:val="-2"/>
          <w:sz w:val="24"/>
        </w:rPr>
        <w:t>六</w:t>
      </w:r>
      <w:r>
        <w:rPr>
          <w:rFonts w:hint="eastAsia"/>
          <w:spacing w:val="-2"/>
          <w:sz w:val="24"/>
        </w:rPr>
        <w:t>條之</w:t>
      </w:r>
      <w:r>
        <w:rPr>
          <w:spacing w:val="-2"/>
          <w:sz w:val="24"/>
        </w:rPr>
        <w:t>二</w:t>
      </w:r>
      <w:r>
        <w:rPr>
          <w:rFonts w:hint="eastAsia"/>
          <w:spacing w:val="-4"/>
        </w:rPr>
        <w:t xml:space="preserve">　　</w:t>
      </w:r>
      <w:r w:rsidR="00FE3DA7">
        <w:rPr>
          <w:rFonts w:hint="eastAsia"/>
        </w:rPr>
        <w:t>性侵害犯罪之被告或其辯護人於審判中對被害人有任何性別歧視之陳述與舉止，法官應予即時制止。</w:t>
      </w:r>
    </w:p>
    <w:p w:rsidR="00FE3DA7" w:rsidRDefault="00162C7E" w:rsidP="00C25754">
      <w:pPr>
        <w:pStyle w:val="a6"/>
        <w:spacing w:line="455" w:lineRule="exact"/>
        <w:ind w:left="1406" w:hangingChars="370" w:hanging="1406"/>
      </w:pPr>
      <w:r>
        <w:rPr>
          <w:rFonts w:hint="eastAsia"/>
          <w:spacing w:val="50"/>
        </w:rPr>
        <w:t>第十</w:t>
      </w:r>
      <w:r>
        <w:rPr>
          <w:spacing w:val="50"/>
        </w:rPr>
        <w:t>七</w:t>
      </w:r>
      <w:r>
        <w:rPr>
          <w:rFonts w:hint="eastAsia"/>
          <w:spacing w:val="50"/>
        </w:rPr>
        <w:t>條</w:t>
      </w:r>
      <w:r>
        <w:rPr>
          <w:rFonts w:hint="eastAsia"/>
          <w:spacing w:val="-30"/>
        </w:rPr>
        <w:t xml:space="preserve">　　</w:t>
      </w:r>
      <w:r w:rsidR="00FE3DA7">
        <w:rPr>
          <w:rFonts w:hint="eastAsia"/>
        </w:rPr>
        <w:t>被害人於審判中有下列情形之一，其於檢察事務官、司法警察官或司法警察調查中所為之陳述，經證明具有可信</w:t>
      </w:r>
      <w:r w:rsidR="00FE3DA7" w:rsidRPr="009F0DEB">
        <w:rPr>
          <w:rFonts w:hint="eastAsia"/>
          <w:spacing w:val="-6"/>
        </w:rPr>
        <w:t>之特別情況，且為證明犯罪事實之</w:t>
      </w:r>
      <w:proofErr w:type="gramStart"/>
      <w:r w:rsidR="00FE3DA7" w:rsidRPr="009F0DEB">
        <w:rPr>
          <w:rFonts w:hint="eastAsia"/>
          <w:spacing w:val="-6"/>
        </w:rPr>
        <w:t>存否所</w:t>
      </w:r>
      <w:proofErr w:type="gramEnd"/>
      <w:r w:rsidR="00FE3DA7" w:rsidRPr="009F0DEB">
        <w:rPr>
          <w:rFonts w:hint="eastAsia"/>
          <w:spacing w:val="-6"/>
        </w:rPr>
        <w:t>必要者，得為證據：</w:t>
      </w:r>
    </w:p>
    <w:p w:rsidR="00FE3DA7" w:rsidRDefault="00FE3DA7" w:rsidP="00C25754">
      <w:pPr>
        <w:pStyle w:val="11"/>
        <w:spacing w:line="455" w:lineRule="exact"/>
        <w:ind w:left="2520" w:hangingChars="200" w:hanging="560"/>
      </w:pPr>
      <w:r>
        <w:rPr>
          <w:rFonts w:hint="eastAsia"/>
        </w:rPr>
        <w:t>一、因性侵害致身心創傷無法陳述。</w:t>
      </w:r>
    </w:p>
    <w:p w:rsidR="00FE3DA7" w:rsidRDefault="00FE3DA7" w:rsidP="00C25754">
      <w:pPr>
        <w:pStyle w:val="11"/>
        <w:spacing w:line="455" w:lineRule="exact"/>
        <w:ind w:left="2520" w:hangingChars="200" w:hanging="560"/>
      </w:pPr>
      <w:r>
        <w:rPr>
          <w:rFonts w:hint="eastAsia"/>
        </w:rPr>
        <w:t>二、到庭後因身心壓力於訊問或詰問時無法為完全之陳述或拒絕陳述。</w:t>
      </w:r>
    </w:p>
    <w:p w:rsidR="00FE3DA7" w:rsidRDefault="00FE3DA7" w:rsidP="00C25754">
      <w:pPr>
        <w:pStyle w:val="11"/>
        <w:spacing w:line="455" w:lineRule="exact"/>
        <w:ind w:left="2520" w:hangingChars="200" w:hanging="560"/>
      </w:pPr>
      <w:r>
        <w:rPr>
          <w:rFonts w:hint="eastAsia"/>
        </w:rPr>
        <w:t>三、依第十五條之</w:t>
      </w:r>
      <w:proofErr w:type="gramStart"/>
      <w:r>
        <w:rPr>
          <w:rFonts w:hint="eastAsia"/>
        </w:rPr>
        <w:t>一</w:t>
      </w:r>
      <w:proofErr w:type="gramEnd"/>
      <w:r>
        <w:rPr>
          <w:rFonts w:hint="eastAsia"/>
        </w:rPr>
        <w:t>之受詢問者。</w:t>
      </w:r>
    </w:p>
    <w:p w:rsidR="00FE3DA7" w:rsidRDefault="00162C7E" w:rsidP="00C25754">
      <w:pPr>
        <w:pStyle w:val="a6"/>
        <w:spacing w:line="455" w:lineRule="exact"/>
        <w:ind w:left="1406" w:hangingChars="370" w:hanging="1406"/>
      </w:pPr>
      <w:r>
        <w:rPr>
          <w:rFonts w:hint="eastAsia"/>
          <w:spacing w:val="50"/>
        </w:rPr>
        <w:t>第二十條</w:t>
      </w:r>
      <w:r>
        <w:rPr>
          <w:rFonts w:hint="eastAsia"/>
          <w:spacing w:val="-30"/>
        </w:rPr>
        <w:t xml:space="preserve">　　</w:t>
      </w:r>
      <w:r w:rsidR="00FE3DA7">
        <w:rPr>
          <w:rFonts w:hint="eastAsia"/>
        </w:rPr>
        <w:t>加害人有下列情形之一，經評估認有施以治療、輔導之必要者，直轄市、縣（市）</w:t>
      </w:r>
      <w:proofErr w:type="gramStart"/>
      <w:r w:rsidR="00FE3DA7">
        <w:rPr>
          <w:rFonts w:hint="eastAsia"/>
        </w:rPr>
        <w:t>主管機關應命其</w:t>
      </w:r>
      <w:proofErr w:type="gramEnd"/>
      <w:r w:rsidR="00FE3DA7">
        <w:rPr>
          <w:rFonts w:hint="eastAsia"/>
        </w:rPr>
        <w:t>接受身心治療或輔導教育：</w:t>
      </w:r>
    </w:p>
    <w:p w:rsidR="00FE3DA7" w:rsidRDefault="00FE3DA7" w:rsidP="00C25754">
      <w:pPr>
        <w:pStyle w:val="11"/>
        <w:spacing w:line="455" w:lineRule="exact"/>
        <w:ind w:left="2436" w:hangingChars="170" w:hanging="476"/>
      </w:pPr>
      <w:r>
        <w:rPr>
          <w:rFonts w:hint="eastAsia"/>
        </w:rPr>
        <w:t>一、有期徒刑或保安處分執行完畢。但有期徒刑經易服社會勞動者，</w:t>
      </w:r>
      <w:proofErr w:type="gramStart"/>
      <w:r>
        <w:rPr>
          <w:rFonts w:hint="eastAsia"/>
        </w:rPr>
        <w:t>於准易</w:t>
      </w:r>
      <w:proofErr w:type="gramEnd"/>
      <w:r>
        <w:rPr>
          <w:rFonts w:hint="eastAsia"/>
        </w:rPr>
        <w:t>服社會勞動時起執行之。</w:t>
      </w:r>
    </w:p>
    <w:p w:rsidR="00FE3DA7" w:rsidRDefault="00FE3DA7" w:rsidP="00C25754">
      <w:pPr>
        <w:pStyle w:val="11"/>
        <w:spacing w:line="455" w:lineRule="exact"/>
        <w:ind w:left="2436" w:hangingChars="170" w:hanging="476"/>
      </w:pPr>
      <w:r>
        <w:rPr>
          <w:rFonts w:hint="eastAsia"/>
        </w:rPr>
        <w:t>二、假釋。</w:t>
      </w:r>
    </w:p>
    <w:p w:rsidR="00FE3DA7" w:rsidRDefault="00FE3DA7" w:rsidP="00C25754">
      <w:pPr>
        <w:pStyle w:val="11"/>
        <w:spacing w:line="455" w:lineRule="exact"/>
        <w:ind w:left="2436" w:hangingChars="170" w:hanging="476"/>
      </w:pPr>
      <w:r>
        <w:rPr>
          <w:rFonts w:hint="eastAsia"/>
        </w:rPr>
        <w:t>三、緩刑。</w:t>
      </w:r>
    </w:p>
    <w:p w:rsidR="00FE3DA7" w:rsidRDefault="00FE3DA7" w:rsidP="00C25754">
      <w:pPr>
        <w:pStyle w:val="11"/>
        <w:spacing w:line="455" w:lineRule="exact"/>
        <w:ind w:left="2436" w:hangingChars="170" w:hanging="476"/>
      </w:pPr>
      <w:r>
        <w:rPr>
          <w:rFonts w:hint="eastAsia"/>
        </w:rPr>
        <w:t>四、免刑。</w:t>
      </w:r>
    </w:p>
    <w:p w:rsidR="00FE3DA7" w:rsidRDefault="00FE3DA7" w:rsidP="00C25754">
      <w:pPr>
        <w:pStyle w:val="11"/>
        <w:spacing w:line="455" w:lineRule="exact"/>
        <w:ind w:left="2436" w:hangingChars="170" w:hanging="476"/>
      </w:pPr>
      <w:r>
        <w:rPr>
          <w:rFonts w:hint="eastAsia"/>
        </w:rPr>
        <w:t>五、赦免。</w:t>
      </w:r>
    </w:p>
    <w:p w:rsidR="00FE3DA7" w:rsidRDefault="00FE3DA7" w:rsidP="007B7580">
      <w:pPr>
        <w:pStyle w:val="11"/>
        <w:spacing w:line="438" w:lineRule="exact"/>
        <w:ind w:left="2422" w:hangingChars="165" w:hanging="462"/>
      </w:pPr>
      <w:r>
        <w:rPr>
          <w:rFonts w:hint="eastAsia"/>
        </w:rPr>
        <w:t>六、經法院、軍事法院依第二十二條之一第三項裁定停止強制治療。</w:t>
      </w:r>
    </w:p>
    <w:p w:rsidR="00FE3DA7" w:rsidRDefault="00FE3DA7" w:rsidP="00C25754">
      <w:pPr>
        <w:pStyle w:val="a7"/>
        <w:spacing w:line="438" w:lineRule="exact"/>
        <w:ind w:left="1400" w:firstLine="560"/>
      </w:pPr>
      <w:r>
        <w:rPr>
          <w:rFonts w:hint="eastAsia"/>
        </w:rPr>
        <w:t>前項規定對於有觸犯第二條第一項行為，經依少年事</w:t>
      </w:r>
      <w:r>
        <w:rPr>
          <w:rFonts w:hint="eastAsia"/>
        </w:rPr>
        <w:lastRenderedPageBreak/>
        <w:t>件處理法裁定保護處分確定而法院認有必要者，得</w:t>
      </w:r>
      <w:proofErr w:type="gramStart"/>
      <w:r>
        <w:rPr>
          <w:rFonts w:hint="eastAsia"/>
        </w:rPr>
        <w:t>準</w:t>
      </w:r>
      <w:proofErr w:type="gramEnd"/>
      <w:r>
        <w:rPr>
          <w:rFonts w:hint="eastAsia"/>
        </w:rPr>
        <w:t>用之。</w:t>
      </w:r>
    </w:p>
    <w:p w:rsidR="00FE3DA7" w:rsidRDefault="00FE3DA7" w:rsidP="00C25754">
      <w:pPr>
        <w:pStyle w:val="a7"/>
        <w:spacing w:line="438" w:lineRule="exact"/>
        <w:ind w:left="1400" w:firstLine="560"/>
      </w:pPr>
      <w:r>
        <w:rPr>
          <w:rFonts w:hint="eastAsia"/>
        </w:rPr>
        <w:t>觀護人對於付保護管束之加害人，得採取下列一款或數款之處遇方式：</w:t>
      </w:r>
    </w:p>
    <w:p w:rsidR="00FE3DA7" w:rsidRDefault="00FE3DA7" w:rsidP="00C25754">
      <w:pPr>
        <w:pStyle w:val="11"/>
        <w:spacing w:line="438" w:lineRule="exact"/>
        <w:ind w:left="2464" w:hangingChars="180" w:hanging="504"/>
      </w:pPr>
      <w:r>
        <w:rPr>
          <w:rFonts w:hint="eastAsia"/>
        </w:rPr>
        <w:t>一、實施約談、訪視，並得進行團體活動或問卷等輔助行為。</w:t>
      </w:r>
    </w:p>
    <w:p w:rsidR="00FE3DA7" w:rsidRDefault="00FE3DA7" w:rsidP="00C25754">
      <w:pPr>
        <w:pStyle w:val="11"/>
        <w:spacing w:line="438" w:lineRule="exact"/>
        <w:ind w:left="2520" w:hangingChars="200" w:hanging="560"/>
      </w:pPr>
      <w:r>
        <w:rPr>
          <w:rFonts w:hint="eastAsia"/>
        </w:rPr>
        <w:t>二、有事實足認其有再犯罪之虞或需加強輔導及管束者，得密集實施約談、訪視；必要時，並得請警察機關派員定期或不定期查訪之。</w:t>
      </w:r>
    </w:p>
    <w:p w:rsidR="00FE3DA7" w:rsidRDefault="00FE3DA7" w:rsidP="00C25754">
      <w:pPr>
        <w:pStyle w:val="11"/>
        <w:spacing w:line="438" w:lineRule="exact"/>
        <w:ind w:left="2436" w:hangingChars="170" w:hanging="476"/>
      </w:pPr>
      <w:r>
        <w:rPr>
          <w:rFonts w:hint="eastAsia"/>
        </w:rPr>
        <w:t>三、有事實可疑為施用毒品時，得命其接受</w:t>
      </w:r>
      <w:proofErr w:type="gramStart"/>
      <w:r>
        <w:rPr>
          <w:rFonts w:hint="eastAsia"/>
        </w:rPr>
        <w:t>採</w:t>
      </w:r>
      <w:proofErr w:type="gramEnd"/>
      <w:r>
        <w:rPr>
          <w:rFonts w:hint="eastAsia"/>
        </w:rPr>
        <w:t>驗尿液。</w:t>
      </w:r>
    </w:p>
    <w:p w:rsidR="00FE3DA7" w:rsidRDefault="00FE3DA7" w:rsidP="00C25754">
      <w:pPr>
        <w:pStyle w:val="11"/>
        <w:spacing w:line="438" w:lineRule="exact"/>
        <w:ind w:left="2436" w:hangingChars="170" w:hanging="476"/>
      </w:pPr>
      <w:r>
        <w:rPr>
          <w:rFonts w:hint="eastAsia"/>
        </w:rPr>
        <w:t>四、無一定之居住處所，或其居住處所不利保護管束之執行者，得報請檢察官、軍事檢察官許可，命其居住於指定之處所。</w:t>
      </w:r>
    </w:p>
    <w:p w:rsidR="00FE3DA7" w:rsidRDefault="00FE3DA7" w:rsidP="00C25754">
      <w:pPr>
        <w:pStyle w:val="11"/>
        <w:spacing w:line="438" w:lineRule="exact"/>
        <w:ind w:left="2436" w:hangingChars="170" w:hanging="476"/>
      </w:pPr>
      <w:r>
        <w:rPr>
          <w:rFonts w:hint="eastAsia"/>
        </w:rPr>
        <w:t>五、有於特定時間犯罪之習性，或有事實足認其有再犯罪之虞時，得報請檢察官、軍事檢察官，命於監控時段內，未經許可，不得外出。</w:t>
      </w:r>
    </w:p>
    <w:p w:rsidR="00FE3DA7" w:rsidRDefault="00FE3DA7" w:rsidP="00C25754">
      <w:pPr>
        <w:pStyle w:val="11"/>
        <w:spacing w:line="438" w:lineRule="exact"/>
        <w:ind w:left="2436" w:hangingChars="170" w:hanging="476"/>
      </w:pPr>
      <w:r>
        <w:rPr>
          <w:rFonts w:hint="eastAsia"/>
        </w:rPr>
        <w:t>六、得報請檢察官、軍事檢察官許可，對其實施測謊。</w:t>
      </w:r>
    </w:p>
    <w:p w:rsidR="00FE3DA7" w:rsidRDefault="00FE3DA7" w:rsidP="00C25754">
      <w:pPr>
        <w:pStyle w:val="11"/>
        <w:spacing w:line="438" w:lineRule="exact"/>
        <w:ind w:left="2464" w:hangingChars="180" w:hanging="504"/>
      </w:pPr>
      <w:r>
        <w:rPr>
          <w:rFonts w:hint="eastAsia"/>
        </w:rPr>
        <w:t>七、得報請檢察官、軍事檢察官許可，對其實施科技設備監控。</w:t>
      </w:r>
    </w:p>
    <w:p w:rsidR="00FE3DA7" w:rsidRDefault="00FE3DA7" w:rsidP="00C25754">
      <w:pPr>
        <w:pStyle w:val="11"/>
        <w:spacing w:line="438" w:lineRule="exact"/>
        <w:ind w:left="2436" w:hangingChars="170" w:hanging="476"/>
      </w:pPr>
      <w:r>
        <w:rPr>
          <w:rFonts w:hint="eastAsia"/>
        </w:rPr>
        <w:t>八、</w:t>
      </w:r>
      <w:r w:rsidRPr="009F0DEB">
        <w:rPr>
          <w:rFonts w:hint="eastAsia"/>
          <w:spacing w:val="-6"/>
        </w:rPr>
        <w:t>有固定犯罪模式，或有事實足認其有再犯罪之虞時，</w:t>
      </w:r>
      <w:r>
        <w:rPr>
          <w:rFonts w:hint="eastAsia"/>
        </w:rPr>
        <w:t>得報請檢察官、軍事檢察官許可，禁止其接近特定場所或對象。</w:t>
      </w:r>
    </w:p>
    <w:p w:rsidR="00FE3DA7" w:rsidRDefault="00FE3DA7" w:rsidP="00C25754">
      <w:pPr>
        <w:pStyle w:val="11"/>
        <w:spacing w:line="438" w:lineRule="exact"/>
        <w:ind w:left="2436" w:hangingChars="170" w:hanging="476"/>
      </w:pPr>
      <w:r>
        <w:rPr>
          <w:rFonts w:hint="eastAsia"/>
        </w:rPr>
        <w:t>九、轉</w:t>
      </w:r>
      <w:proofErr w:type="gramStart"/>
      <w:r>
        <w:rPr>
          <w:rFonts w:hint="eastAsia"/>
        </w:rPr>
        <w:t>介</w:t>
      </w:r>
      <w:proofErr w:type="gramEnd"/>
      <w:r>
        <w:rPr>
          <w:rFonts w:hint="eastAsia"/>
        </w:rPr>
        <w:t>適當機構或團體。</w:t>
      </w:r>
    </w:p>
    <w:p w:rsidR="00FE3DA7" w:rsidRDefault="00FE3DA7" w:rsidP="00C25754">
      <w:pPr>
        <w:pStyle w:val="11"/>
        <w:spacing w:line="438" w:lineRule="exact"/>
        <w:ind w:left="2436" w:hangingChars="170" w:hanging="476"/>
      </w:pPr>
      <w:r>
        <w:rPr>
          <w:rFonts w:hint="eastAsia"/>
        </w:rPr>
        <w:lastRenderedPageBreak/>
        <w:t>十、其他必要處遇。</w:t>
      </w:r>
    </w:p>
    <w:p w:rsidR="00FE3DA7" w:rsidRDefault="00FE3DA7" w:rsidP="00C25754">
      <w:pPr>
        <w:pStyle w:val="a7"/>
        <w:spacing w:line="455" w:lineRule="exact"/>
        <w:ind w:left="1400" w:firstLine="560"/>
      </w:pPr>
      <w:r>
        <w:rPr>
          <w:rFonts w:hint="eastAsia"/>
        </w:rPr>
        <w:t>第一項之執行期間為三年以下。但經評估認有繼續執行之必要者，直轄市、縣（市）主管機關得延長之，最長不得逾一年；其無繼續執行之必要者，得免其處分之執行。</w:t>
      </w:r>
    </w:p>
    <w:p w:rsidR="00FE3DA7" w:rsidRDefault="00FE3DA7" w:rsidP="00C25754">
      <w:pPr>
        <w:pStyle w:val="a7"/>
        <w:spacing w:line="455" w:lineRule="exact"/>
        <w:ind w:left="1400" w:firstLine="560"/>
      </w:pPr>
      <w:r>
        <w:rPr>
          <w:rFonts w:hint="eastAsia"/>
        </w:rPr>
        <w:t>第一項之評估，除徒刑之受刑人由監獄或軍事監獄、受感化教育少年由感化教育機關辦理外，由直轄市、縣（市）主管機關辦理。</w:t>
      </w:r>
    </w:p>
    <w:p w:rsidR="00FE3DA7" w:rsidRDefault="00FE3DA7" w:rsidP="00C25754">
      <w:pPr>
        <w:pStyle w:val="a7"/>
        <w:spacing w:line="455" w:lineRule="exact"/>
        <w:ind w:left="1400" w:firstLine="560"/>
      </w:pPr>
      <w:r>
        <w:rPr>
          <w:rFonts w:hint="eastAsia"/>
        </w:rPr>
        <w:t>第一項評估之內容、基準、程序與身心治療或輔導教育之內容、程序、成效評估等事項之辦法，由中央主管機關會同法務主管機關及國防主管機關定之。</w:t>
      </w:r>
    </w:p>
    <w:p w:rsidR="00FE3DA7" w:rsidRDefault="00FE3DA7" w:rsidP="00C25754">
      <w:pPr>
        <w:pStyle w:val="a7"/>
        <w:spacing w:line="455" w:lineRule="exact"/>
        <w:ind w:left="1400" w:firstLine="560"/>
      </w:pPr>
      <w:r>
        <w:rPr>
          <w:rFonts w:hint="eastAsia"/>
        </w:rPr>
        <w:t>第三項第三款</w:t>
      </w:r>
      <w:proofErr w:type="gramStart"/>
      <w:r>
        <w:rPr>
          <w:rFonts w:hint="eastAsia"/>
        </w:rPr>
        <w:t>採</w:t>
      </w:r>
      <w:proofErr w:type="gramEnd"/>
      <w:r>
        <w:rPr>
          <w:rFonts w:hint="eastAsia"/>
        </w:rPr>
        <w:t>驗尿液之執行方式、程序、</w:t>
      </w:r>
      <w:proofErr w:type="gramStart"/>
      <w:r>
        <w:rPr>
          <w:rFonts w:hint="eastAsia"/>
        </w:rPr>
        <w:t>期間、</w:t>
      </w:r>
      <w:proofErr w:type="gramEnd"/>
      <w:r>
        <w:rPr>
          <w:rFonts w:hint="eastAsia"/>
        </w:rPr>
        <w:t>次數、檢驗機構及項目等，由法務主管機關會商相關機關定之。</w:t>
      </w:r>
    </w:p>
    <w:p w:rsidR="00FE3DA7" w:rsidRDefault="00FE3DA7" w:rsidP="00C25754">
      <w:pPr>
        <w:pStyle w:val="a7"/>
        <w:spacing w:line="455" w:lineRule="exact"/>
        <w:ind w:left="1400" w:firstLine="560"/>
      </w:pPr>
      <w:r>
        <w:rPr>
          <w:rFonts w:hint="eastAsia"/>
        </w:rPr>
        <w:t>第三項第六</w:t>
      </w:r>
      <w:proofErr w:type="gramStart"/>
      <w:r>
        <w:rPr>
          <w:rFonts w:hint="eastAsia"/>
        </w:rPr>
        <w:t>款之測謊</w:t>
      </w:r>
      <w:proofErr w:type="gramEnd"/>
      <w:r>
        <w:rPr>
          <w:rFonts w:hint="eastAsia"/>
        </w:rPr>
        <w:t>及第七款之科技設備監控，其實施機關（構）、人員、方式及程序等事項之辦法，由法務主管機關會商相關機關定之。</w:t>
      </w:r>
    </w:p>
    <w:p w:rsidR="00FE3DA7" w:rsidRDefault="00495E4B" w:rsidP="00C25754">
      <w:pPr>
        <w:pStyle w:val="a6"/>
        <w:spacing w:line="455" w:lineRule="exact"/>
        <w:ind w:left="1400" w:hangingChars="700" w:hanging="1400"/>
      </w:pPr>
      <w:r>
        <w:rPr>
          <w:rFonts w:hint="eastAsia"/>
          <w:spacing w:val="-20"/>
          <w:sz w:val="24"/>
        </w:rPr>
        <w:t>第二十</w:t>
      </w:r>
      <w:r>
        <w:rPr>
          <w:spacing w:val="-20"/>
          <w:sz w:val="24"/>
        </w:rPr>
        <w:t>二</w:t>
      </w:r>
      <w:r>
        <w:rPr>
          <w:rFonts w:hint="eastAsia"/>
          <w:spacing w:val="-20"/>
          <w:sz w:val="24"/>
        </w:rPr>
        <w:t>條之</w:t>
      </w:r>
      <w:proofErr w:type="gramStart"/>
      <w:r>
        <w:rPr>
          <w:rFonts w:hint="eastAsia"/>
          <w:spacing w:val="-20"/>
          <w:sz w:val="24"/>
        </w:rPr>
        <w:t>一</w:t>
      </w:r>
      <w:proofErr w:type="gramEnd"/>
      <w:r w:rsidRPr="00B37DFE">
        <w:rPr>
          <w:rFonts w:hint="eastAsia"/>
          <w:spacing w:val="4"/>
          <w:sz w:val="26"/>
          <w:szCs w:val="26"/>
        </w:rPr>
        <w:t xml:space="preserve">　　</w:t>
      </w:r>
      <w:r w:rsidR="00FE3DA7" w:rsidRPr="00694A62">
        <w:rPr>
          <w:rFonts w:hint="eastAsia"/>
          <w:spacing w:val="-2"/>
        </w:rPr>
        <w:t>加害人於徒刑執行期滿前，接受輔導或治療後，經鑑定、</w:t>
      </w:r>
      <w:r w:rsidR="00FE3DA7">
        <w:rPr>
          <w:rFonts w:hint="eastAsia"/>
        </w:rPr>
        <w:t>評估，認有再犯之危險，而不適用刑法第九十一條之</w:t>
      </w:r>
      <w:proofErr w:type="gramStart"/>
      <w:r w:rsidR="00FE3DA7">
        <w:rPr>
          <w:rFonts w:hint="eastAsia"/>
        </w:rPr>
        <w:t>一</w:t>
      </w:r>
      <w:proofErr w:type="gramEnd"/>
      <w:r w:rsidR="00FE3DA7">
        <w:rPr>
          <w:rFonts w:hint="eastAsia"/>
        </w:rPr>
        <w:t>者，監獄、軍事監獄得檢具相關評估報告，送請該管地方法院檢察署檢察官、軍事法院檢察署檢察官聲請法院、軍事法院裁定命其進入醫療機構或其他指定處所，施以強制治療。</w:t>
      </w:r>
    </w:p>
    <w:p w:rsidR="00FE3DA7" w:rsidRDefault="00FE3DA7" w:rsidP="00C25754">
      <w:pPr>
        <w:pStyle w:val="a7"/>
        <w:spacing w:line="455" w:lineRule="exact"/>
        <w:ind w:left="1400" w:firstLine="560"/>
      </w:pPr>
      <w:r>
        <w:rPr>
          <w:rFonts w:hint="eastAsia"/>
        </w:rPr>
        <w:lastRenderedPageBreak/>
        <w:t>加害人依第二十條接受身心治療或輔導教育後，經鑑定、評估其自我控制再犯預防仍無成效，而不適用刑法第九十一條之</w:t>
      </w:r>
      <w:proofErr w:type="gramStart"/>
      <w:r>
        <w:rPr>
          <w:rFonts w:hint="eastAsia"/>
        </w:rPr>
        <w:t>一</w:t>
      </w:r>
      <w:proofErr w:type="gramEnd"/>
      <w:r>
        <w:rPr>
          <w:rFonts w:hint="eastAsia"/>
        </w:rPr>
        <w:t>者，該管地方法院檢察署檢察官、軍事法院檢察署檢察官或直轄市、縣（市）主管機關得檢具相關評估報告聲請法院、軍事法院裁定命其進入醫療機構或其他指定處所，施以強制治療。</w:t>
      </w:r>
    </w:p>
    <w:p w:rsidR="00FE3DA7" w:rsidRDefault="00FE3DA7" w:rsidP="00C25754">
      <w:pPr>
        <w:pStyle w:val="a7"/>
        <w:spacing w:line="426" w:lineRule="exact"/>
        <w:ind w:left="1400" w:firstLine="560"/>
      </w:pPr>
      <w:r>
        <w:rPr>
          <w:rFonts w:hint="eastAsia"/>
        </w:rPr>
        <w:t>前二項之強制治療期間至其再犯危險顯著降低為止，執行期間應每年至少一次鑑定、評估有無停止治療之必要。其經鑑定、評估認無繼續強制治療必要者，加害人、該管地方法院檢察署檢察官、軍事法院檢察署檢察官或直轄市、縣（市）主管機關得聲請法院、軍事法院裁定停止強制治療。</w:t>
      </w:r>
    </w:p>
    <w:p w:rsidR="00FE3DA7" w:rsidRDefault="00FE3DA7" w:rsidP="00C25754">
      <w:pPr>
        <w:pStyle w:val="a7"/>
        <w:spacing w:line="426" w:lineRule="exact"/>
        <w:ind w:left="1400" w:firstLine="560"/>
      </w:pPr>
      <w:r>
        <w:rPr>
          <w:rFonts w:hint="eastAsia"/>
        </w:rPr>
        <w:t>第二項之加害人經通知依指定期日到場接受強制治療而未按時到場者，處一年以下有期徒刑、拘役、科或</w:t>
      </w:r>
      <w:proofErr w:type="gramStart"/>
      <w:r>
        <w:rPr>
          <w:rFonts w:hint="eastAsia"/>
        </w:rPr>
        <w:t>併</w:t>
      </w:r>
      <w:proofErr w:type="gramEnd"/>
      <w:r>
        <w:rPr>
          <w:rFonts w:hint="eastAsia"/>
        </w:rPr>
        <w:t>科新臺幣五萬元以下罰金。</w:t>
      </w:r>
    </w:p>
    <w:p w:rsidR="00FE3DA7" w:rsidRDefault="00FE3DA7" w:rsidP="00C25754">
      <w:pPr>
        <w:pStyle w:val="a7"/>
        <w:spacing w:line="426" w:lineRule="exact"/>
        <w:ind w:left="1400" w:firstLine="536"/>
      </w:pPr>
      <w:r w:rsidRPr="00113F60">
        <w:rPr>
          <w:rFonts w:hint="eastAsia"/>
          <w:spacing w:val="-6"/>
        </w:rPr>
        <w:t>第一項、第二項之聲請程序、強制治療之執行機關（構）、</w:t>
      </w:r>
      <w:r>
        <w:rPr>
          <w:rFonts w:hint="eastAsia"/>
        </w:rPr>
        <w:t>處所、執行程序、方式、經費來源及第三項停止強制治療之聲請程序、方式、鑑定及評估審議會之組成等，由法務主管機關會同中央主管機關及國防主管機關定之。</w:t>
      </w:r>
    </w:p>
    <w:p w:rsidR="00FE3DA7" w:rsidRDefault="00FE3DA7" w:rsidP="00C25754">
      <w:pPr>
        <w:pStyle w:val="a6"/>
        <w:spacing w:line="426" w:lineRule="exact"/>
        <w:ind w:left="1400" w:hanging="1400"/>
      </w:pPr>
      <w:r>
        <w:rPr>
          <w:rFonts w:hint="eastAsia"/>
        </w:rPr>
        <w:t>第二十五條　　本法自公布後六</w:t>
      </w:r>
      <w:proofErr w:type="gramStart"/>
      <w:r>
        <w:rPr>
          <w:rFonts w:hint="eastAsia"/>
        </w:rPr>
        <w:t>個</w:t>
      </w:r>
      <w:proofErr w:type="gramEnd"/>
      <w:r>
        <w:rPr>
          <w:rFonts w:hint="eastAsia"/>
        </w:rPr>
        <w:t>月施行。</w:t>
      </w:r>
    </w:p>
    <w:p w:rsidR="00FE3DA7" w:rsidRDefault="00FE3DA7" w:rsidP="00C25754">
      <w:pPr>
        <w:pStyle w:val="a7"/>
        <w:spacing w:line="426" w:lineRule="exact"/>
        <w:ind w:left="1400" w:firstLine="560"/>
      </w:pPr>
      <w:r>
        <w:rPr>
          <w:rFonts w:hint="eastAsia"/>
        </w:rPr>
        <w:t>本法中華民國九十八年十二月二十二日修正之條文，自九十八年十一月二十三日施行。</w:t>
      </w:r>
    </w:p>
    <w:p w:rsidR="00FE3DA7" w:rsidRDefault="00FE3DA7" w:rsidP="00C25754">
      <w:pPr>
        <w:pStyle w:val="a7"/>
        <w:spacing w:line="426" w:lineRule="exact"/>
        <w:ind w:left="1400" w:firstLine="560"/>
      </w:pPr>
      <w:r>
        <w:rPr>
          <w:rFonts w:hint="eastAsia"/>
        </w:rPr>
        <w:t>本法中華民國一百年十月二十五日修正之條文，自一</w:t>
      </w:r>
      <w:r>
        <w:rPr>
          <w:rFonts w:hint="eastAsia"/>
        </w:rPr>
        <w:lastRenderedPageBreak/>
        <w:t>百零一年一月一日施行。</w:t>
      </w:r>
    </w:p>
    <w:p w:rsidR="00F0539A" w:rsidRDefault="00FE3DA7" w:rsidP="00C25754">
      <w:pPr>
        <w:pStyle w:val="a7"/>
        <w:spacing w:afterLines="100" w:after="240" w:line="426" w:lineRule="exact"/>
        <w:ind w:left="1400" w:firstLine="560"/>
      </w:pPr>
      <w:r>
        <w:rPr>
          <w:rFonts w:hint="eastAsia"/>
        </w:rPr>
        <w:t>本法中華民國一百零四年十二月八日修正之條文，除</w:t>
      </w:r>
      <w:r w:rsidRPr="00113F60">
        <w:rPr>
          <w:rFonts w:hint="eastAsia"/>
          <w:spacing w:val="-4"/>
        </w:rPr>
        <w:t>第十五條之</w:t>
      </w:r>
      <w:proofErr w:type="gramStart"/>
      <w:r w:rsidRPr="00113F60">
        <w:rPr>
          <w:rFonts w:hint="eastAsia"/>
          <w:spacing w:val="-4"/>
        </w:rPr>
        <w:t>一</w:t>
      </w:r>
      <w:proofErr w:type="gramEnd"/>
      <w:r w:rsidRPr="00113F60">
        <w:rPr>
          <w:rFonts w:hint="eastAsia"/>
          <w:spacing w:val="-4"/>
        </w:rPr>
        <w:t>自一百零六年一月一日施行外，自公布日施行。</w:t>
      </w:r>
    </w:p>
    <w:sectPr w:rsidR="00F0539A">
      <w:headerReference w:type="even" r:id="rId8"/>
      <w:headerReference w:type="default" r:id="rId9"/>
      <w:footerReference w:type="even" r:id="rId10"/>
      <w:footerReference w:type="default" r:id="rId11"/>
      <w:footerReference w:type="first" r:id="rId12"/>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26" w:rsidRDefault="00E71B26">
      <w:r>
        <w:separator/>
      </w:r>
    </w:p>
  </w:endnote>
  <w:endnote w:type="continuationSeparator" w:id="0">
    <w:p w:rsidR="00E71B26" w:rsidRDefault="00E7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00000000" w:usb1="28091800" w:usb2="00000016"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DD" w:rsidRDefault="009D5FDD">
    <w:pPr>
      <w:spacing w:line="20" w:lineRule="exact"/>
    </w:pPr>
  </w:p>
  <w:p w:rsidR="009D5FDD" w:rsidRDefault="009D5FDD">
    <w:pPr>
      <w:pStyle w:val="a4"/>
    </w:pPr>
    <w:r>
      <w:fldChar w:fldCharType="begin"/>
    </w:r>
    <w:r>
      <w:instrText xml:space="preserve"> PAGE </w:instrText>
    </w:r>
    <w:r>
      <w:fldChar w:fldCharType="separate"/>
    </w:r>
    <w:r>
      <w:rPr>
        <w:noProof/>
      </w:rPr>
      <w:t>2</w:t>
    </w:r>
    <w:r>
      <w:fldChar w:fldCharType="end"/>
    </w:r>
  </w:p>
  <w:p w:rsidR="009D5FDD" w:rsidRDefault="009D5FDD"/>
  <w:p w:rsidR="009D5FDD" w:rsidRDefault="009D5FDD"/>
  <w:p w:rsidR="009D5FDD" w:rsidRDefault="009D5F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DD" w:rsidRDefault="009D5FDD">
    <w:pPr>
      <w:pStyle w:val="a4"/>
    </w:pPr>
    <w:r>
      <w:fldChar w:fldCharType="begin"/>
    </w:r>
    <w:r>
      <w:instrText xml:space="preserve"> PAGE </w:instrText>
    </w:r>
    <w:r>
      <w:fldChar w:fldCharType="separate"/>
    </w:r>
    <w:r w:rsidR="00FA33D3">
      <w:rPr>
        <w:noProof/>
      </w:rPr>
      <w:t>1</w:t>
    </w:r>
    <w:r>
      <w:fldChar w:fldCharType="end"/>
    </w:r>
  </w:p>
  <w:p w:rsidR="009D5FDD" w:rsidRDefault="009D5FDD">
    <w:pPr>
      <w:pStyle w:val="a4"/>
      <w:tabs>
        <w:tab w:val="clear" w:pos="4153"/>
        <w:tab w:val="clear" w:pos="8306"/>
        <w:tab w:val="left" w:pos="5387"/>
        <w:tab w:val="left" w:pos="10632"/>
      </w:tabs>
      <w:spacing w:before="120" w:line="240" w:lineRule="atLeast"/>
      <w:ind w:right="357"/>
    </w:pPr>
  </w:p>
  <w:p w:rsidR="009D5FDD" w:rsidRDefault="009D5FDD">
    <w:pPr>
      <w:pStyle w:val="a4"/>
      <w:tabs>
        <w:tab w:val="clear" w:pos="4153"/>
        <w:tab w:val="clear" w:pos="8306"/>
        <w:tab w:val="left" w:pos="5387"/>
        <w:tab w:val="left" w:pos="10632"/>
      </w:tabs>
      <w:spacing w:before="120" w:line="240" w:lineRule="atLeast"/>
      <w:ind w:right="357"/>
    </w:pPr>
  </w:p>
  <w:p w:rsidR="009D5FDD" w:rsidRDefault="009D5FDD">
    <w:pPr>
      <w:pStyle w:val="a4"/>
      <w:tabs>
        <w:tab w:val="clear" w:pos="4153"/>
        <w:tab w:val="clear" w:pos="8306"/>
        <w:tab w:val="left" w:pos="5387"/>
        <w:tab w:val="left" w:pos="10632"/>
      </w:tabs>
      <w:spacing w:before="120" w:line="240" w:lineRule="atLeast"/>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DD" w:rsidRDefault="009D5FDD">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26" w:rsidRDefault="00E71B26">
      <w:r>
        <w:separator/>
      </w:r>
    </w:p>
  </w:footnote>
  <w:footnote w:type="continuationSeparator" w:id="0">
    <w:p w:rsidR="00E71B26" w:rsidRDefault="00E7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DD" w:rsidRDefault="009D5FDD">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9D5FDD" w:rsidRDefault="009D5FDD">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9D5FDD" w:rsidRDefault="009D5FDD"/>
  <w:p w:rsidR="009D5FDD" w:rsidRDefault="009D5FDD"/>
  <w:p w:rsidR="009D5FDD" w:rsidRDefault="009D5F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DD" w:rsidRDefault="009D5FDD">
    <w:pPr>
      <w:pStyle w:val="a3"/>
      <w:framePr w:wrap="around" w:vAnchor="text" w:hAnchor="margin" w:xAlign="outside" w:y="1"/>
    </w:pPr>
    <w:r>
      <w:fldChar w:fldCharType="begin"/>
    </w:r>
    <w:r>
      <w:instrText xml:space="preserve">PAGE  </w:instrText>
    </w:r>
    <w:r>
      <w:fldChar w:fldCharType="separate"/>
    </w:r>
    <w:r w:rsidR="00FA33D3">
      <w:rPr>
        <w:noProof/>
      </w:rPr>
      <w:t>1</w:t>
    </w:r>
    <w:r>
      <w:fldChar w:fldCharType="end"/>
    </w:r>
  </w:p>
  <w:p w:rsidR="009D5FDD" w:rsidRDefault="009D5FDD">
    <w:pPr>
      <w:pStyle w:val="a3"/>
      <w:spacing w:line="240" w:lineRule="atLeast"/>
    </w:pPr>
    <w:r>
      <w:rPr>
        <w:rFonts w:ascii="標楷體" w:hint="eastAsia"/>
      </w:rPr>
      <w:t xml:space="preserve">總統府公報　　　　　　　　　　　　　　　　　　　　　　　　　　</w:t>
    </w:r>
    <w:r>
      <w:rPr>
        <w:rFonts w:ascii="標楷體" w:hint="eastAsia"/>
      </w:rPr>
      <w:t>第</w:t>
    </w:r>
    <w:r>
      <w:t>66</w:t>
    </w:r>
    <w:r>
      <w:rPr>
        <w:rFonts w:hint="eastAsia"/>
      </w:rPr>
      <w:t>67</w:t>
    </w:r>
    <w:r>
      <w:rPr>
        <w:rFonts w:ascii="標楷體" w:hint="eastAsia"/>
      </w:rPr>
      <w:t>號</w:t>
    </w:r>
  </w:p>
  <w:p w:rsidR="009D5FDD" w:rsidRDefault="009D5FDD"/>
  <w:p w:rsidR="009D5FDD" w:rsidRDefault="009D5FDD"/>
  <w:p w:rsidR="009D5FDD" w:rsidRDefault="009D5F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4097"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BE0881"/>
    <w:rsid w:val="00004B55"/>
    <w:rsid w:val="00022BC5"/>
    <w:rsid w:val="00023AF7"/>
    <w:rsid w:val="00032EA5"/>
    <w:rsid w:val="000343C9"/>
    <w:rsid w:val="000355C7"/>
    <w:rsid w:val="00041AA5"/>
    <w:rsid w:val="0005059D"/>
    <w:rsid w:val="00050C50"/>
    <w:rsid w:val="00063898"/>
    <w:rsid w:val="00067161"/>
    <w:rsid w:val="0007560C"/>
    <w:rsid w:val="0009124F"/>
    <w:rsid w:val="0009189A"/>
    <w:rsid w:val="00094459"/>
    <w:rsid w:val="000B3763"/>
    <w:rsid w:val="000C0929"/>
    <w:rsid w:val="000D33C5"/>
    <w:rsid w:val="000D3C70"/>
    <w:rsid w:val="000D5B53"/>
    <w:rsid w:val="000D629C"/>
    <w:rsid w:val="000D712F"/>
    <w:rsid w:val="000E04F4"/>
    <w:rsid w:val="000F0C17"/>
    <w:rsid w:val="000F249F"/>
    <w:rsid w:val="00101E6E"/>
    <w:rsid w:val="001079FE"/>
    <w:rsid w:val="00113A8A"/>
    <w:rsid w:val="00113F60"/>
    <w:rsid w:val="001162ED"/>
    <w:rsid w:val="00117455"/>
    <w:rsid w:val="00126110"/>
    <w:rsid w:val="001439CD"/>
    <w:rsid w:val="0014587E"/>
    <w:rsid w:val="00151C16"/>
    <w:rsid w:val="00162C7E"/>
    <w:rsid w:val="00166B65"/>
    <w:rsid w:val="001672E5"/>
    <w:rsid w:val="00183BF7"/>
    <w:rsid w:val="001A66E2"/>
    <w:rsid w:val="001A7911"/>
    <w:rsid w:val="001B219A"/>
    <w:rsid w:val="001B4F2E"/>
    <w:rsid w:val="001C4473"/>
    <w:rsid w:val="001C7988"/>
    <w:rsid w:val="001F39B5"/>
    <w:rsid w:val="00204FFE"/>
    <w:rsid w:val="00205E62"/>
    <w:rsid w:val="0022309D"/>
    <w:rsid w:val="0022408F"/>
    <w:rsid w:val="00233B42"/>
    <w:rsid w:val="0023602A"/>
    <w:rsid w:val="0024174C"/>
    <w:rsid w:val="00244DA4"/>
    <w:rsid w:val="002547C1"/>
    <w:rsid w:val="00261EA2"/>
    <w:rsid w:val="0026453E"/>
    <w:rsid w:val="002706A3"/>
    <w:rsid w:val="002716CD"/>
    <w:rsid w:val="00275A6D"/>
    <w:rsid w:val="002814E0"/>
    <w:rsid w:val="00282781"/>
    <w:rsid w:val="0029331B"/>
    <w:rsid w:val="002938A6"/>
    <w:rsid w:val="00296203"/>
    <w:rsid w:val="002B35C3"/>
    <w:rsid w:val="002C098F"/>
    <w:rsid w:val="002C4943"/>
    <w:rsid w:val="002D0C37"/>
    <w:rsid w:val="002E0701"/>
    <w:rsid w:val="002E40F4"/>
    <w:rsid w:val="002E44B1"/>
    <w:rsid w:val="002E525F"/>
    <w:rsid w:val="002E6AF2"/>
    <w:rsid w:val="002F29FC"/>
    <w:rsid w:val="002F2A70"/>
    <w:rsid w:val="00304834"/>
    <w:rsid w:val="00311A0A"/>
    <w:rsid w:val="003257EF"/>
    <w:rsid w:val="0033083A"/>
    <w:rsid w:val="00332AB4"/>
    <w:rsid w:val="00333CA9"/>
    <w:rsid w:val="00334CCC"/>
    <w:rsid w:val="00340A5B"/>
    <w:rsid w:val="0034781B"/>
    <w:rsid w:val="00352A87"/>
    <w:rsid w:val="003656AE"/>
    <w:rsid w:val="00372FCE"/>
    <w:rsid w:val="0038587E"/>
    <w:rsid w:val="003A3E81"/>
    <w:rsid w:val="003A430A"/>
    <w:rsid w:val="003C4E3E"/>
    <w:rsid w:val="003C5CEB"/>
    <w:rsid w:val="003C5FC3"/>
    <w:rsid w:val="003C6A66"/>
    <w:rsid w:val="003E0F25"/>
    <w:rsid w:val="003F1BD8"/>
    <w:rsid w:val="003F4A70"/>
    <w:rsid w:val="003F56FD"/>
    <w:rsid w:val="00415F83"/>
    <w:rsid w:val="00437B8C"/>
    <w:rsid w:val="00443098"/>
    <w:rsid w:val="00457FDE"/>
    <w:rsid w:val="00463B07"/>
    <w:rsid w:val="0047702B"/>
    <w:rsid w:val="00481DB5"/>
    <w:rsid w:val="00490302"/>
    <w:rsid w:val="00495E4B"/>
    <w:rsid w:val="004A6D9F"/>
    <w:rsid w:val="004A7EC0"/>
    <w:rsid w:val="004B3236"/>
    <w:rsid w:val="004B78AE"/>
    <w:rsid w:val="004D45B3"/>
    <w:rsid w:val="004F14F2"/>
    <w:rsid w:val="004F712D"/>
    <w:rsid w:val="00500A77"/>
    <w:rsid w:val="00503877"/>
    <w:rsid w:val="005113EB"/>
    <w:rsid w:val="00517663"/>
    <w:rsid w:val="00517DA6"/>
    <w:rsid w:val="005228D5"/>
    <w:rsid w:val="005252D5"/>
    <w:rsid w:val="0052778A"/>
    <w:rsid w:val="005305D4"/>
    <w:rsid w:val="00554DD2"/>
    <w:rsid w:val="00561699"/>
    <w:rsid w:val="00574798"/>
    <w:rsid w:val="00583C14"/>
    <w:rsid w:val="00586302"/>
    <w:rsid w:val="005877B0"/>
    <w:rsid w:val="00594EBE"/>
    <w:rsid w:val="005A1D23"/>
    <w:rsid w:val="005A292A"/>
    <w:rsid w:val="005A53CD"/>
    <w:rsid w:val="005A6847"/>
    <w:rsid w:val="005D6F35"/>
    <w:rsid w:val="005E2BF7"/>
    <w:rsid w:val="005E6ECE"/>
    <w:rsid w:val="00604F55"/>
    <w:rsid w:val="00605947"/>
    <w:rsid w:val="00612A14"/>
    <w:rsid w:val="00644D70"/>
    <w:rsid w:val="00650E2E"/>
    <w:rsid w:val="006531C6"/>
    <w:rsid w:val="006578D1"/>
    <w:rsid w:val="0066221A"/>
    <w:rsid w:val="0066394A"/>
    <w:rsid w:val="00694A62"/>
    <w:rsid w:val="006A3B9C"/>
    <w:rsid w:val="006A50D4"/>
    <w:rsid w:val="006B0B29"/>
    <w:rsid w:val="006B0E99"/>
    <w:rsid w:val="006B101E"/>
    <w:rsid w:val="006C494C"/>
    <w:rsid w:val="006C72EA"/>
    <w:rsid w:val="006D739B"/>
    <w:rsid w:val="006E61FB"/>
    <w:rsid w:val="006E6406"/>
    <w:rsid w:val="006F3496"/>
    <w:rsid w:val="0070163B"/>
    <w:rsid w:val="00702CDC"/>
    <w:rsid w:val="00702F6B"/>
    <w:rsid w:val="0070522F"/>
    <w:rsid w:val="00707AA7"/>
    <w:rsid w:val="00710F65"/>
    <w:rsid w:val="00720A88"/>
    <w:rsid w:val="00721719"/>
    <w:rsid w:val="00722165"/>
    <w:rsid w:val="007268D2"/>
    <w:rsid w:val="0075073C"/>
    <w:rsid w:val="0076096C"/>
    <w:rsid w:val="00767C02"/>
    <w:rsid w:val="00777069"/>
    <w:rsid w:val="00781BAF"/>
    <w:rsid w:val="0079030C"/>
    <w:rsid w:val="00791B3E"/>
    <w:rsid w:val="00795272"/>
    <w:rsid w:val="0079716B"/>
    <w:rsid w:val="007A271C"/>
    <w:rsid w:val="007A4C4D"/>
    <w:rsid w:val="007A7AC1"/>
    <w:rsid w:val="007B1D4A"/>
    <w:rsid w:val="007B45B6"/>
    <w:rsid w:val="007B7580"/>
    <w:rsid w:val="007C2856"/>
    <w:rsid w:val="007C5F13"/>
    <w:rsid w:val="007D70B7"/>
    <w:rsid w:val="007E0006"/>
    <w:rsid w:val="007F2500"/>
    <w:rsid w:val="00804960"/>
    <w:rsid w:val="00816BC7"/>
    <w:rsid w:val="00820075"/>
    <w:rsid w:val="00825AAE"/>
    <w:rsid w:val="00832065"/>
    <w:rsid w:val="008323F9"/>
    <w:rsid w:val="008326AB"/>
    <w:rsid w:val="00833DC4"/>
    <w:rsid w:val="00836046"/>
    <w:rsid w:val="00836F4C"/>
    <w:rsid w:val="00840BFF"/>
    <w:rsid w:val="0084301A"/>
    <w:rsid w:val="0085266F"/>
    <w:rsid w:val="00856C97"/>
    <w:rsid w:val="00864D09"/>
    <w:rsid w:val="00867725"/>
    <w:rsid w:val="00874522"/>
    <w:rsid w:val="008818AF"/>
    <w:rsid w:val="00887B05"/>
    <w:rsid w:val="00890E91"/>
    <w:rsid w:val="00894004"/>
    <w:rsid w:val="008A0843"/>
    <w:rsid w:val="008A3E12"/>
    <w:rsid w:val="008A3F9F"/>
    <w:rsid w:val="008B035D"/>
    <w:rsid w:val="008B24BD"/>
    <w:rsid w:val="008B50BF"/>
    <w:rsid w:val="008B7B05"/>
    <w:rsid w:val="008C0CC5"/>
    <w:rsid w:val="008C642F"/>
    <w:rsid w:val="008E03D8"/>
    <w:rsid w:val="008E497C"/>
    <w:rsid w:val="008E6BCF"/>
    <w:rsid w:val="008F0216"/>
    <w:rsid w:val="008F03A3"/>
    <w:rsid w:val="008F26FE"/>
    <w:rsid w:val="008F4867"/>
    <w:rsid w:val="00906DEB"/>
    <w:rsid w:val="009114F1"/>
    <w:rsid w:val="0091351F"/>
    <w:rsid w:val="00913FEF"/>
    <w:rsid w:val="009258E8"/>
    <w:rsid w:val="0092772C"/>
    <w:rsid w:val="00937D36"/>
    <w:rsid w:val="00941E1B"/>
    <w:rsid w:val="0095012B"/>
    <w:rsid w:val="00955212"/>
    <w:rsid w:val="00962F82"/>
    <w:rsid w:val="009760B5"/>
    <w:rsid w:val="00987ECC"/>
    <w:rsid w:val="0099109F"/>
    <w:rsid w:val="009A490C"/>
    <w:rsid w:val="009B24D0"/>
    <w:rsid w:val="009B4AA1"/>
    <w:rsid w:val="009C5585"/>
    <w:rsid w:val="009D4031"/>
    <w:rsid w:val="009D4E13"/>
    <w:rsid w:val="009D5FDD"/>
    <w:rsid w:val="009D6407"/>
    <w:rsid w:val="009E25A1"/>
    <w:rsid w:val="009F0DEB"/>
    <w:rsid w:val="009F146C"/>
    <w:rsid w:val="009F1E38"/>
    <w:rsid w:val="009F4C96"/>
    <w:rsid w:val="00A0516B"/>
    <w:rsid w:val="00A071B9"/>
    <w:rsid w:val="00A120D3"/>
    <w:rsid w:val="00A17328"/>
    <w:rsid w:val="00A24278"/>
    <w:rsid w:val="00A41A67"/>
    <w:rsid w:val="00A42A01"/>
    <w:rsid w:val="00A50910"/>
    <w:rsid w:val="00A50F4F"/>
    <w:rsid w:val="00A51116"/>
    <w:rsid w:val="00A53825"/>
    <w:rsid w:val="00A72A9E"/>
    <w:rsid w:val="00A7323B"/>
    <w:rsid w:val="00A7738E"/>
    <w:rsid w:val="00A846FB"/>
    <w:rsid w:val="00A93C48"/>
    <w:rsid w:val="00AB1EE5"/>
    <w:rsid w:val="00AC0251"/>
    <w:rsid w:val="00AC4506"/>
    <w:rsid w:val="00AC7A9F"/>
    <w:rsid w:val="00AD23D3"/>
    <w:rsid w:val="00B00338"/>
    <w:rsid w:val="00B0320D"/>
    <w:rsid w:val="00B103AC"/>
    <w:rsid w:val="00B14441"/>
    <w:rsid w:val="00B20F3B"/>
    <w:rsid w:val="00B22B88"/>
    <w:rsid w:val="00B24928"/>
    <w:rsid w:val="00B36D5E"/>
    <w:rsid w:val="00B42E32"/>
    <w:rsid w:val="00B642D1"/>
    <w:rsid w:val="00B90002"/>
    <w:rsid w:val="00BB033E"/>
    <w:rsid w:val="00BB1BAE"/>
    <w:rsid w:val="00BB2F68"/>
    <w:rsid w:val="00BB6189"/>
    <w:rsid w:val="00BD048F"/>
    <w:rsid w:val="00BD44F2"/>
    <w:rsid w:val="00BE0881"/>
    <w:rsid w:val="00BE08A9"/>
    <w:rsid w:val="00BF2C4E"/>
    <w:rsid w:val="00BF7E4F"/>
    <w:rsid w:val="00C02DF2"/>
    <w:rsid w:val="00C10352"/>
    <w:rsid w:val="00C22E42"/>
    <w:rsid w:val="00C25754"/>
    <w:rsid w:val="00C355C5"/>
    <w:rsid w:val="00C36414"/>
    <w:rsid w:val="00C445E6"/>
    <w:rsid w:val="00C52216"/>
    <w:rsid w:val="00C52326"/>
    <w:rsid w:val="00C61247"/>
    <w:rsid w:val="00C724D4"/>
    <w:rsid w:val="00C72A06"/>
    <w:rsid w:val="00C75330"/>
    <w:rsid w:val="00C9034E"/>
    <w:rsid w:val="00C96B2E"/>
    <w:rsid w:val="00CA652B"/>
    <w:rsid w:val="00CD50EE"/>
    <w:rsid w:val="00CD724E"/>
    <w:rsid w:val="00CE015C"/>
    <w:rsid w:val="00CF12CD"/>
    <w:rsid w:val="00CF6098"/>
    <w:rsid w:val="00CF612D"/>
    <w:rsid w:val="00CF73D0"/>
    <w:rsid w:val="00D0192B"/>
    <w:rsid w:val="00D01A14"/>
    <w:rsid w:val="00D064BE"/>
    <w:rsid w:val="00D079B7"/>
    <w:rsid w:val="00D15DE1"/>
    <w:rsid w:val="00D2037F"/>
    <w:rsid w:val="00D22449"/>
    <w:rsid w:val="00D244AA"/>
    <w:rsid w:val="00D619F0"/>
    <w:rsid w:val="00D8334A"/>
    <w:rsid w:val="00D83E18"/>
    <w:rsid w:val="00D85AEB"/>
    <w:rsid w:val="00D931C8"/>
    <w:rsid w:val="00DB04A5"/>
    <w:rsid w:val="00DE53E6"/>
    <w:rsid w:val="00DF7F3D"/>
    <w:rsid w:val="00E017DB"/>
    <w:rsid w:val="00E05AAD"/>
    <w:rsid w:val="00E16DE7"/>
    <w:rsid w:val="00E2051E"/>
    <w:rsid w:val="00E2586B"/>
    <w:rsid w:val="00E25CB5"/>
    <w:rsid w:val="00E26732"/>
    <w:rsid w:val="00E400D4"/>
    <w:rsid w:val="00E519A0"/>
    <w:rsid w:val="00E57761"/>
    <w:rsid w:val="00E61F50"/>
    <w:rsid w:val="00E7000B"/>
    <w:rsid w:val="00E70BAA"/>
    <w:rsid w:val="00E71B26"/>
    <w:rsid w:val="00E819D9"/>
    <w:rsid w:val="00E865CC"/>
    <w:rsid w:val="00E86ABD"/>
    <w:rsid w:val="00E9214C"/>
    <w:rsid w:val="00E92ADD"/>
    <w:rsid w:val="00E977A4"/>
    <w:rsid w:val="00EA1EA5"/>
    <w:rsid w:val="00EB155E"/>
    <w:rsid w:val="00EC15F0"/>
    <w:rsid w:val="00ED314E"/>
    <w:rsid w:val="00ED4C58"/>
    <w:rsid w:val="00EE2B87"/>
    <w:rsid w:val="00EE4716"/>
    <w:rsid w:val="00EF0A74"/>
    <w:rsid w:val="00EF2140"/>
    <w:rsid w:val="00EF2EC2"/>
    <w:rsid w:val="00EF669E"/>
    <w:rsid w:val="00EF7AF8"/>
    <w:rsid w:val="00F00D2C"/>
    <w:rsid w:val="00F0539A"/>
    <w:rsid w:val="00F072C8"/>
    <w:rsid w:val="00F21B9C"/>
    <w:rsid w:val="00F331A4"/>
    <w:rsid w:val="00F36905"/>
    <w:rsid w:val="00F36B27"/>
    <w:rsid w:val="00F412B1"/>
    <w:rsid w:val="00F51892"/>
    <w:rsid w:val="00F54085"/>
    <w:rsid w:val="00F557CE"/>
    <w:rsid w:val="00F7105E"/>
    <w:rsid w:val="00F71AE1"/>
    <w:rsid w:val="00F74C9C"/>
    <w:rsid w:val="00F76C7E"/>
    <w:rsid w:val="00F8286F"/>
    <w:rsid w:val="00F86BAA"/>
    <w:rsid w:val="00F8769D"/>
    <w:rsid w:val="00F90828"/>
    <w:rsid w:val="00FA33D3"/>
    <w:rsid w:val="00FA4EC3"/>
    <w:rsid w:val="00FB1AEE"/>
    <w:rsid w:val="00FB2D23"/>
    <w:rsid w:val="00FB76FE"/>
    <w:rsid w:val="00FC293B"/>
    <w:rsid w:val="00FE33A0"/>
    <w:rsid w:val="00FE3DA7"/>
    <w:rsid w:val="00FF4A34"/>
    <w:rsid w:val="00FF7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9D5FDD"/>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9D5F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9D5FDD"/>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9D5F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5867">
      <w:bodyDiv w:val="1"/>
      <w:marLeft w:val="0"/>
      <w:marRight w:val="0"/>
      <w:marTop w:val="0"/>
      <w:marBottom w:val="0"/>
      <w:divBdr>
        <w:top w:val="none" w:sz="0" w:space="0" w:color="auto"/>
        <w:left w:val="none" w:sz="0" w:space="0" w:color="auto"/>
        <w:bottom w:val="none" w:sz="0" w:space="0" w:color="auto"/>
        <w:right w:val="none" w:sz="0" w:space="0" w:color="auto"/>
      </w:divBdr>
    </w:div>
    <w:div w:id="6642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cchen\&#26700;&#38754;\&#32232;&#25490;&#20844;&#22577;&#31684;&#26412;10412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18A4-8B48-4DCA-A7C7-F14012F9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編排公報範本1041204</Template>
  <TotalTime>1</TotalTime>
  <Pages>10</Pages>
  <Words>614</Words>
  <Characters>3502</Characters>
  <Application>Microsoft Office Word</Application>
  <DocSecurity>4</DocSecurity>
  <Lines>29</Lines>
  <Paragraphs>8</Paragraphs>
  <ScaleCrop>false</ScaleCrop>
  <Company>總統府</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陳銀泉</dc:creator>
  <cp:keywords/>
  <dc:description/>
  <cp:lastModifiedBy>蔡佳玲</cp:lastModifiedBy>
  <cp:revision>2</cp:revision>
  <cp:lastPrinted>2015-12-21T03:49:00Z</cp:lastPrinted>
  <dcterms:created xsi:type="dcterms:W3CDTF">2016-01-06T07:39:00Z</dcterms:created>
  <dcterms:modified xsi:type="dcterms:W3CDTF">2016-01-06T07:39:00Z</dcterms:modified>
</cp:coreProperties>
</file>